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E0CB3" w14:textId="1DF2CE85" w:rsidR="00DA342B" w:rsidRDefault="008D61DC" w:rsidP="008D61DC">
      <w:pPr>
        <w:jc w:val="both"/>
        <w:rPr>
          <w:rFonts w:ascii="Arial" w:hAnsi="Arial" w:cs="Arial"/>
          <w:b/>
          <w:bCs/>
          <w:sz w:val="44"/>
          <w:szCs w:val="44"/>
          <w:lang w:val="en-US"/>
        </w:rPr>
      </w:pPr>
      <w:r w:rsidRPr="008D61DC">
        <w:rPr>
          <w:rFonts w:ascii="Arial" w:hAnsi="Arial" w:cs="Arial"/>
          <w:b/>
          <w:bCs/>
          <w:sz w:val="52"/>
          <w:szCs w:val="52"/>
          <w:lang w:val="en-US"/>
        </w:rPr>
        <w:t>The</w:t>
      </w:r>
      <w:r>
        <w:rPr>
          <w:rFonts w:ascii="Arial" w:hAnsi="Arial" w:cs="Arial"/>
          <w:b/>
          <w:bCs/>
          <w:sz w:val="52"/>
          <w:szCs w:val="52"/>
          <w:lang w:val="en-US"/>
        </w:rPr>
        <w:t xml:space="preserve"> </w:t>
      </w:r>
      <w:r w:rsidRPr="008D61DC">
        <w:rPr>
          <w:rFonts w:ascii="Arial" w:hAnsi="Arial" w:cs="Arial"/>
          <w:b/>
          <w:bCs/>
          <w:sz w:val="52"/>
          <w:szCs w:val="52"/>
          <w:lang w:val="en-US"/>
        </w:rPr>
        <w:t xml:space="preserve">Impact of Poverty in </w:t>
      </w:r>
      <w:r w:rsidR="00C82652">
        <w:rPr>
          <w:rFonts w:ascii="Arial" w:hAnsi="Arial" w:cs="Arial"/>
          <w:b/>
          <w:bCs/>
          <w:sz w:val="52"/>
          <w:szCs w:val="52"/>
          <w:lang w:val="en-US"/>
        </w:rPr>
        <w:t>Mexico</w:t>
      </w:r>
      <w:r w:rsidRPr="008D61DC">
        <w:rPr>
          <w:rFonts w:ascii="Arial" w:hAnsi="Arial" w:cs="Arial"/>
          <w:b/>
          <w:bCs/>
          <w:sz w:val="52"/>
          <w:szCs w:val="52"/>
          <w:lang w:val="en-US"/>
        </w:rPr>
        <w:t xml:space="preserve"> on </w:t>
      </w:r>
      <w:r w:rsidR="000A74B7">
        <w:rPr>
          <w:rFonts w:ascii="Arial" w:hAnsi="Arial" w:cs="Arial"/>
          <w:b/>
          <w:bCs/>
          <w:sz w:val="52"/>
          <w:szCs w:val="52"/>
          <w:lang w:val="en-US"/>
        </w:rPr>
        <w:t>Addiction</w:t>
      </w:r>
      <w:r w:rsidRPr="008D61DC">
        <w:rPr>
          <w:rFonts w:ascii="Arial" w:hAnsi="Arial" w:cs="Arial"/>
          <w:b/>
          <w:bCs/>
          <w:sz w:val="52"/>
          <w:szCs w:val="52"/>
          <w:lang w:val="en-US"/>
        </w:rPr>
        <w:t xml:space="preserve"> and </w:t>
      </w:r>
      <w:r w:rsidR="000A74B7">
        <w:rPr>
          <w:rFonts w:ascii="Arial" w:hAnsi="Arial" w:cs="Arial"/>
          <w:b/>
          <w:bCs/>
          <w:sz w:val="52"/>
          <w:szCs w:val="52"/>
          <w:lang w:val="en-US"/>
        </w:rPr>
        <w:t>Une</w:t>
      </w:r>
      <w:r w:rsidRPr="008D61DC">
        <w:rPr>
          <w:rFonts w:ascii="Arial" w:hAnsi="Arial" w:cs="Arial"/>
          <w:b/>
          <w:bCs/>
          <w:sz w:val="52"/>
          <w:szCs w:val="52"/>
          <w:lang w:val="en-US"/>
        </w:rPr>
        <w:t>mployability</w:t>
      </w:r>
    </w:p>
    <w:p w14:paraId="64B9EE57" w14:textId="77777777" w:rsidR="00DA342B" w:rsidRDefault="00DA342B" w:rsidP="00DA342B">
      <w:pPr>
        <w:jc w:val="both"/>
        <w:rPr>
          <w:rFonts w:ascii="Arial" w:hAnsi="Arial" w:cs="Arial"/>
          <w:b/>
          <w:bCs/>
          <w:sz w:val="44"/>
          <w:szCs w:val="44"/>
          <w:lang w:val="en-US"/>
        </w:rPr>
      </w:pPr>
    </w:p>
    <w:p w14:paraId="4BF96C1A" w14:textId="30C004D3" w:rsidR="00DA342B" w:rsidRDefault="00DA342B" w:rsidP="00DA342B">
      <w:pPr>
        <w:jc w:val="both"/>
        <w:rPr>
          <w:rFonts w:ascii="Arial" w:hAnsi="Arial" w:cs="Arial"/>
          <w:b/>
          <w:bCs/>
          <w:sz w:val="44"/>
          <w:szCs w:val="44"/>
          <w:lang w:val="en-US"/>
        </w:rPr>
      </w:pPr>
      <w:r>
        <w:rPr>
          <w:rFonts w:ascii="Arial" w:hAnsi="Arial" w:cs="Arial"/>
          <w:b/>
          <w:bCs/>
          <w:sz w:val="44"/>
          <w:szCs w:val="44"/>
          <w:lang w:val="en-US"/>
        </w:rPr>
        <w:t>Global and Local Barriers Health Inquiry</w:t>
      </w:r>
    </w:p>
    <w:p w14:paraId="3AB4FBE2" w14:textId="77777777" w:rsidR="00DA342B" w:rsidRPr="002507B0" w:rsidRDefault="00DA342B" w:rsidP="00DA342B">
      <w:pPr>
        <w:rPr>
          <w:rFonts w:cstheme="minorHAnsi"/>
          <w:sz w:val="36"/>
          <w:szCs w:val="36"/>
          <w:lang w:val="en-US"/>
        </w:rPr>
      </w:pPr>
      <w:r w:rsidRPr="002507B0">
        <w:rPr>
          <w:rFonts w:cstheme="minorHAnsi"/>
          <w:i/>
          <w:iCs/>
          <w:sz w:val="36"/>
          <w:szCs w:val="36"/>
          <w:lang w:val="en-US"/>
        </w:rPr>
        <w:t>YEAR 12 HEALTH STUDIES ATAR</w:t>
      </w:r>
    </w:p>
    <w:p w14:paraId="4C2FF028" w14:textId="77777777" w:rsidR="00DA342B" w:rsidRDefault="00DA342B" w:rsidP="00DA342B">
      <w:pPr>
        <w:jc w:val="both"/>
        <w:rPr>
          <w:rFonts w:ascii="Arial" w:hAnsi="Arial" w:cs="Arial"/>
          <w:b/>
          <w:bCs/>
          <w:sz w:val="44"/>
          <w:szCs w:val="44"/>
          <w:lang w:val="en-US"/>
        </w:rPr>
      </w:pPr>
    </w:p>
    <w:p w14:paraId="661D0D50" w14:textId="77777777" w:rsidR="00DA342B" w:rsidRDefault="00DA342B" w:rsidP="00DA342B">
      <w:pPr>
        <w:jc w:val="both"/>
        <w:rPr>
          <w:rFonts w:ascii="Arial" w:hAnsi="Arial" w:cs="Arial"/>
          <w:b/>
          <w:bCs/>
          <w:sz w:val="44"/>
          <w:szCs w:val="44"/>
          <w:lang w:val="en-US"/>
        </w:rPr>
      </w:pPr>
    </w:p>
    <w:p w14:paraId="0394ADA7" w14:textId="77777777" w:rsidR="00DA342B" w:rsidRDefault="00DA342B" w:rsidP="00DA342B">
      <w:pPr>
        <w:jc w:val="both"/>
        <w:rPr>
          <w:rFonts w:ascii="Arial" w:hAnsi="Arial" w:cs="Arial"/>
          <w:b/>
          <w:bCs/>
          <w:sz w:val="44"/>
          <w:szCs w:val="44"/>
          <w:lang w:val="en-US"/>
        </w:rPr>
      </w:pPr>
    </w:p>
    <w:p w14:paraId="79D68F3F" w14:textId="77777777" w:rsidR="00DA342B" w:rsidRDefault="00DA342B" w:rsidP="00DA342B">
      <w:pPr>
        <w:jc w:val="both"/>
        <w:rPr>
          <w:rFonts w:ascii="Arial" w:hAnsi="Arial" w:cs="Arial"/>
          <w:b/>
          <w:bCs/>
          <w:sz w:val="44"/>
          <w:szCs w:val="44"/>
          <w:lang w:val="en-US"/>
        </w:rPr>
      </w:pPr>
    </w:p>
    <w:p w14:paraId="37424AD7" w14:textId="77777777" w:rsidR="00DA342B" w:rsidRDefault="00DA342B" w:rsidP="00DA342B">
      <w:pPr>
        <w:jc w:val="both"/>
        <w:rPr>
          <w:rFonts w:ascii="Arial" w:hAnsi="Arial" w:cs="Arial"/>
          <w:b/>
          <w:bCs/>
          <w:sz w:val="44"/>
          <w:szCs w:val="44"/>
          <w:lang w:val="en-US"/>
        </w:rPr>
      </w:pPr>
    </w:p>
    <w:p w14:paraId="053DE3C4" w14:textId="77777777" w:rsidR="00DA342B" w:rsidRDefault="00DA342B" w:rsidP="00DA342B">
      <w:pPr>
        <w:jc w:val="both"/>
        <w:rPr>
          <w:rFonts w:ascii="Arial" w:hAnsi="Arial" w:cs="Arial"/>
          <w:b/>
          <w:bCs/>
          <w:sz w:val="44"/>
          <w:szCs w:val="44"/>
          <w:lang w:val="en-US"/>
        </w:rPr>
      </w:pPr>
    </w:p>
    <w:p w14:paraId="32577885" w14:textId="77777777" w:rsidR="00DA342B" w:rsidRDefault="00DA342B" w:rsidP="00DA342B">
      <w:pPr>
        <w:jc w:val="both"/>
        <w:rPr>
          <w:rFonts w:ascii="Arial" w:hAnsi="Arial" w:cs="Arial"/>
          <w:b/>
          <w:bCs/>
          <w:sz w:val="44"/>
          <w:szCs w:val="44"/>
          <w:lang w:val="en-US"/>
        </w:rPr>
      </w:pPr>
    </w:p>
    <w:p w14:paraId="60B7677F" w14:textId="77777777" w:rsidR="00DA342B" w:rsidRDefault="00DA342B" w:rsidP="00DA342B">
      <w:pPr>
        <w:jc w:val="both"/>
        <w:rPr>
          <w:rFonts w:ascii="Arial" w:hAnsi="Arial" w:cs="Arial"/>
          <w:b/>
          <w:bCs/>
          <w:sz w:val="44"/>
          <w:szCs w:val="44"/>
          <w:lang w:val="en-US"/>
        </w:rPr>
      </w:pPr>
    </w:p>
    <w:p w14:paraId="770A6387" w14:textId="77777777" w:rsidR="00DA342B" w:rsidRDefault="00DA342B" w:rsidP="00DA342B">
      <w:pPr>
        <w:jc w:val="both"/>
        <w:rPr>
          <w:rFonts w:ascii="Arial" w:hAnsi="Arial" w:cs="Arial"/>
          <w:b/>
          <w:bCs/>
          <w:sz w:val="44"/>
          <w:szCs w:val="44"/>
          <w:lang w:val="en-US"/>
        </w:rPr>
      </w:pPr>
    </w:p>
    <w:p w14:paraId="64991D90" w14:textId="77777777" w:rsidR="00DA342B" w:rsidRDefault="00DA342B" w:rsidP="00DA342B">
      <w:pPr>
        <w:jc w:val="both"/>
        <w:rPr>
          <w:rFonts w:ascii="Arial" w:hAnsi="Arial" w:cs="Arial"/>
          <w:sz w:val="36"/>
          <w:szCs w:val="36"/>
          <w:lang w:val="en-US"/>
        </w:rPr>
      </w:pPr>
    </w:p>
    <w:p w14:paraId="61101053" w14:textId="77777777" w:rsidR="00DA342B" w:rsidRDefault="00DA342B" w:rsidP="00DA342B">
      <w:pPr>
        <w:jc w:val="both"/>
        <w:rPr>
          <w:rFonts w:ascii="Arial" w:hAnsi="Arial" w:cs="Arial"/>
          <w:sz w:val="36"/>
          <w:szCs w:val="36"/>
          <w:lang w:val="en-US"/>
        </w:rPr>
      </w:pPr>
    </w:p>
    <w:p w14:paraId="404F3963" w14:textId="77777777" w:rsidR="00DA342B" w:rsidRDefault="00DA342B" w:rsidP="00DA342B">
      <w:pPr>
        <w:jc w:val="both"/>
        <w:rPr>
          <w:rFonts w:ascii="Arial" w:hAnsi="Arial" w:cs="Arial"/>
          <w:sz w:val="36"/>
          <w:szCs w:val="36"/>
          <w:lang w:val="en-US"/>
        </w:rPr>
      </w:pPr>
    </w:p>
    <w:p w14:paraId="3A5960C2" w14:textId="77777777" w:rsidR="00DA342B" w:rsidRDefault="00DA342B" w:rsidP="00DA342B">
      <w:pPr>
        <w:jc w:val="both"/>
        <w:rPr>
          <w:rFonts w:ascii="Arial" w:hAnsi="Arial" w:cs="Arial"/>
          <w:sz w:val="36"/>
          <w:szCs w:val="36"/>
          <w:lang w:val="en-US"/>
        </w:rPr>
      </w:pPr>
    </w:p>
    <w:p w14:paraId="11E1CB7F" w14:textId="77777777" w:rsidR="00DA342B" w:rsidRPr="002507B0" w:rsidRDefault="00DA342B" w:rsidP="00DA342B">
      <w:pPr>
        <w:jc w:val="both"/>
        <w:rPr>
          <w:rFonts w:ascii="Arial" w:hAnsi="Arial" w:cs="Arial"/>
          <w:sz w:val="36"/>
          <w:szCs w:val="36"/>
          <w:lang w:val="en-US"/>
        </w:rPr>
      </w:pPr>
      <w:r w:rsidRPr="002507B0">
        <w:rPr>
          <w:rFonts w:ascii="Arial" w:hAnsi="Arial" w:cs="Arial"/>
          <w:sz w:val="36"/>
          <w:szCs w:val="36"/>
          <w:lang w:val="en-US"/>
        </w:rPr>
        <w:t>Shomir. H</w:t>
      </w:r>
    </w:p>
    <w:p w14:paraId="1E487286" w14:textId="77777777" w:rsidR="00DA342B" w:rsidRPr="00152588" w:rsidRDefault="00DA342B" w:rsidP="00DA342B">
      <w:pPr>
        <w:rPr>
          <w:rFonts w:ascii="Arial" w:hAnsi="Arial" w:cs="Arial"/>
          <w:b/>
          <w:bCs/>
          <w:sz w:val="44"/>
          <w:szCs w:val="44"/>
        </w:rPr>
      </w:pPr>
      <w:r w:rsidRPr="00152588">
        <w:rPr>
          <w:rFonts w:ascii="Arial" w:hAnsi="Arial" w:cs="Arial"/>
          <w:b/>
          <w:bCs/>
          <w:sz w:val="44"/>
          <w:szCs w:val="44"/>
        </w:rPr>
        <w:br w:type="page"/>
      </w:r>
    </w:p>
    <w:p w14:paraId="5C5E38AC" w14:textId="77777777" w:rsidR="00DA342B" w:rsidRPr="00496F7E" w:rsidRDefault="00DA342B" w:rsidP="00DA342B">
      <w:pPr>
        <w:jc w:val="both"/>
        <w:rPr>
          <w:rFonts w:ascii="Arial" w:hAnsi="Arial" w:cs="Arial"/>
          <w:b/>
          <w:bCs/>
          <w:sz w:val="24"/>
          <w:szCs w:val="24"/>
          <w:u w:val="single"/>
          <w:lang w:val="en-US"/>
        </w:rPr>
      </w:pPr>
      <w:r w:rsidRPr="00496F7E">
        <w:rPr>
          <w:rFonts w:ascii="Arial" w:hAnsi="Arial" w:cs="Arial"/>
          <w:b/>
          <w:bCs/>
          <w:sz w:val="24"/>
          <w:szCs w:val="24"/>
          <w:u w:val="single"/>
          <w:lang w:val="en-US"/>
        </w:rPr>
        <w:t>Introduction</w:t>
      </w:r>
    </w:p>
    <w:p w14:paraId="3CCEC08C" w14:textId="11E41E97" w:rsidR="0047190A" w:rsidRDefault="0047190A" w:rsidP="00354D57">
      <w:pPr>
        <w:jc w:val="both"/>
        <w:rPr>
          <w:rFonts w:ascii="Arial" w:hAnsi="Arial" w:cs="Arial"/>
          <w:color w:val="000000" w:themeColor="text1"/>
          <w:lang w:val="en-US"/>
        </w:rPr>
      </w:pPr>
      <w:proofErr w:type="spellStart"/>
      <w:r w:rsidRPr="0047190A">
        <w:rPr>
          <w:rFonts w:ascii="Arial" w:hAnsi="Arial" w:cs="Arial"/>
          <w:color w:val="000000" w:themeColor="text1"/>
          <w:lang w:val="en-US"/>
        </w:rPr>
        <w:t>Asalamu</w:t>
      </w:r>
      <w:proofErr w:type="spellEnd"/>
      <w:r w:rsidRPr="0047190A">
        <w:rPr>
          <w:rFonts w:ascii="Arial" w:hAnsi="Arial" w:cs="Arial"/>
          <w:color w:val="000000" w:themeColor="text1"/>
          <w:lang w:val="en-US"/>
        </w:rPr>
        <w:t xml:space="preserve"> </w:t>
      </w:r>
      <w:proofErr w:type="spellStart"/>
      <w:r w:rsidRPr="0047190A">
        <w:rPr>
          <w:rFonts w:ascii="Arial" w:hAnsi="Arial" w:cs="Arial"/>
          <w:color w:val="000000" w:themeColor="text1"/>
          <w:lang w:val="en-US"/>
        </w:rPr>
        <w:t>Alaikum</w:t>
      </w:r>
      <w:proofErr w:type="spellEnd"/>
      <w:r w:rsidRPr="0047190A">
        <w:rPr>
          <w:rFonts w:ascii="Arial" w:hAnsi="Arial" w:cs="Arial"/>
          <w:color w:val="000000" w:themeColor="text1"/>
          <w:lang w:val="en-US"/>
        </w:rPr>
        <w:t xml:space="preserve"> </w:t>
      </w:r>
      <w:proofErr w:type="spellStart"/>
      <w:r w:rsidRPr="0047190A">
        <w:rPr>
          <w:rFonts w:ascii="Arial" w:hAnsi="Arial" w:cs="Arial"/>
          <w:color w:val="000000" w:themeColor="text1"/>
          <w:lang w:val="en-US"/>
        </w:rPr>
        <w:t>Wa</w:t>
      </w:r>
      <w:proofErr w:type="spellEnd"/>
      <w:r w:rsidRPr="0047190A">
        <w:rPr>
          <w:rFonts w:ascii="Arial" w:hAnsi="Arial" w:cs="Arial"/>
          <w:color w:val="000000" w:themeColor="text1"/>
          <w:lang w:val="en-US"/>
        </w:rPr>
        <w:t xml:space="preserve"> </w:t>
      </w:r>
      <w:proofErr w:type="spellStart"/>
      <w:r w:rsidRPr="0047190A">
        <w:rPr>
          <w:rFonts w:ascii="Arial" w:hAnsi="Arial" w:cs="Arial"/>
          <w:color w:val="000000" w:themeColor="text1"/>
          <w:lang w:val="en-US"/>
        </w:rPr>
        <w:t>Rahmatullahi</w:t>
      </w:r>
      <w:proofErr w:type="spellEnd"/>
      <w:r w:rsidRPr="0047190A">
        <w:rPr>
          <w:rFonts w:ascii="Arial" w:hAnsi="Arial" w:cs="Arial"/>
          <w:color w:val="000000" w:themeColor="text1"/>
          <w:lang w:val="en-US"/>
        </w:rPr>
        <w:t xml:space="preserve">. My name is Shomir, and today I will be discussing the impact of poverty on Mexico's social determinants of </w:t>
      </w:r>
      <w:r w:rsidR="00BE14C6">
        <w:rPr>
          <w:rFonts w:ascii="Arial" w:hAnsi="Arial" w:cs="Arial"/>
          <w:color w:val="000000" w:themeColor="text1"/>
          <w:lang w:val="en-US"/>
        </w:rPr>
        <w:t xml:space="preserve">addiction </w:t>
      </w:r>
      <w:r w:rsidRPr="0047190A">
        <w:rPr>
          <w:rFonts w:ascii="Arial" w:hAnsi="Arial" w:cs="Arial"/>
          <w:color w:val="000000" w:themeColor="text1"/>
          <w:lang w:val="en-US"/>
        </w:rPr>
        <w:t xml:space="preserve">and </w:t>
      </w:r>
      <w:r w:rsidR="00A43E20" w:rsidRPr="00A43E20">
        <w:rPr>
          <w:rFonts w:ascii="Arial" w:hAnsi="Arial" w:cs="Arial"/>
          <w:color w:val="000000" w:themeColor="text1"/>
          <w:lang w:val="en-US"/>
        </w:rPr>
        <w:t>unemployability</w:t>
      </w:r>
      <w:r w:rsidRPr="0047190A">
        <w:rPr>
          <w:rFonts w:ascii="Arial" w:hAnsi="Arial" w:cs="Arial"/>
          <w:color w:val="000000" w:themeColor="text1"/>
          <w:lang w:val="en-US"/>
        </w:rPr>
        <w:t>.</w:t>
      </w:r>
    </w:p>
    <w:p w14:paraId="43E9D5A8" w14:textId="77777777" w:rsidR="001C3DFB" w:rsidRDefault="001C3DFB" w:rsidP="001C3DFB">
      <w:pPr>
        <w:jc w:val="both"/>
        <w:rPr>
          <w:rFonts w:ascii="Arial" w:hAnsi="Arial" w:cs="Arial"/>
          <w:b/>
          <w:bCs/>
          <w:color w:val="000000" w:themeColor="text1"/>
          <w:u w:val="single"/>
          <w:lang w:val="en-US"/>
        </w:rPr>
      </w:pPr>
      <w:r>
        <w:rPr>
          <w:rFonts w:ascii="Arial" w:hAnsi="Arial" w:cs="Arial"/>
          <w:b/>
          <w:bCs/>
          <w:color w:val="000000" w:themeColor="text1"/>
          <w:u w:val="single"/>
          <w:lang w:val="en-US"/>
        </w:rPr>
        <w:t>What is Poverty?</w:t>
      </w:r>
    </w:p>
    <w:p w14:paraId="7CB67893" w14:textId="77777777" w:rsidR="001C3DFB" w:rsidRDefault="001C3DFB" w:rsidP="001C3DFB">
      <w:pPr>
        <w:jc w:val="both"/>
        <w:rPr>
          <w:rFonts w:ascii="Arial" w:hAnsi="Arial" w:cs="Arial"/>
          <w:color w:val="000000" w:themeColor="text1"/>
          <w:lang w:val="en-US"/>
        </w:rPr>
      </w:pPr>
      <w:r w:rsidRPr="00F049C4">
        <w:rPr>
          <w:rFonts w:ascii="Arial" w:hAnsi="Arial" w:cs="Arial"/>
          <w:color w:val="000000" w:themeColor="text1"/>
          <w:lang w:val="en-US"/>
        </w:rPr>
        <w:t>The state of being extremely poor. People’s basic needs for food, clothing and shelter are not being met. It is a deprivation of basic human needs which depends not only on income but also on access to services. The poverty line in the world’s poorest countries is approximately $2 a day.</w:t>
      </w:r>
    </w:p>
    <w:p w14:paraId="21373E2E" w14:textId="5718707E" w:rsidR="00087A06" w:rsidRPr="00087A06" w:rsidRDefault="00087A06" w:rsidP="00354D57">
      <w:pPr>
        <w:jc w:val="both"/>
        <w:rPr>
          <w:rFonts w:ascii="Arial" w:hAnsi="Arial" w:cs="Arial"/>
          <w:b/>
          <w:bCs/>
          <w:color w:val="000000" w:themeColor="text1"/>
          <w:u w:val="single"/>
          <w:lang w:val="en-US"/>
        </w:rPr>
      </w:pPr>
      <w:r w:rsidRPr="00596D57">
        <w:rPr>
          <w:rFonts w:ascii="Arial" w:hAnsi="Arial" w:cs="Arial"/>
          <w:b/>
          <w:bCs/>
          <w:color w:val="000000" w:themeColor="text1"/>
          <w:u w:val="single"/>
          <w:lang w:val="en-US"/>
        </w:rPr>
        <w:t xml:space="preserve">Context of </w:t>
      </w:r>
      <w:r w:rsidR="0047190A">
        <w:rPr>
          <w:rFonts w:ascii="Arial" w:hAnsi="Arial" w:cs="Arial"/>
          <w:b/>
          <w:bCs/>
          <w:color w:val="000000" w:themeColor="text1"/>
          <w:u w:val="single"/>
          <w:lang w:val="en-US"/>
        </w:rPr>
        <w:t>Mexico</w:t>
      </w:r>
    </w:p>
    <w:p w14:paraId="7375B961" w14:textId="23329E52" w:rsidR="0047190A" w:rsidRDefault="0047190A" w:rsidP="00087A06">
      <w:pPr>
        <w:jc w:val="both"/>
        <w:rPr>
          <w:rFonts w:ascii="Arial" w:hAnsi="Arial" w:cs="Arial"/>
          <w:color w:val="000000" w:themeColor="text1"/>
          <w:lang w:val="en-US"/>
        </w:rPr>
      </w:pPr>
      <w:r w:rsidRPr="0047190A">
        <w:rPr>
          <w:rFonts w:ascii="Arial" w:hAnsi="Arial" w:cs="Arial"/>
          <w:color w:val="000000" w:themeColor="text1"/>
          <w:lang w:val="en-US"/>
        </w:rPr>
        <w:t xml:space="preserve">Mexico is in the southern part of North America, sharing its borders with the United States to the north and Guatemala and Belize to the south. It is also surrounded by the Pacific Ocean to the west and the Gulf of Mexico and the Caribbean Sea to the east. Mexico covers a total area of approximately 1.96 million square </w:t>
      </w:r>
      <w:proofErr w:type="spellStart"/>
      <w:r w:rsidRPr="0047190A">
        <w:rPr>
          <w:rFonts w:ascii="Arial" w:hAnsi="Arial" w:cs="Arial"/>
          <w:color w:val="000000" w:themeColor="text1"/>
          <w:lang w:val="en-US"/>
        </w:rPr>
        <w:t>kilometres</w:t>
      </w:r>
      <w:proofErr w:type="spellEnd"/>
      <w:r w:rsidRPr="0047190A">
        <w:rPr>
          <w:rFonts w:ascii="Arial" w:hAnsi="Arial" w:cs="Arial"/>
          <w:color w:val="000000" w:themeColor="text1"/>
          <w:lang w:val="en-US"/>
        </w:rPr>
        <w:t xml:space="preserve"> with a population of approximately 126 million.</w:t>
      </w:r>
    </w:p>
    <w:p w14:paraId="11326C37" w14:textId="5BA775E0" w:rsidR="00537FBE" w:rsidRDefault="00182CEA" w:rsidP="00354D57">
      <w:pPr>
        <w:jc w:val="both"/>
        <w:rPr>
          <w:rFonts w:ascii="Arial" w:hAnsi="Arial" w:cs="Arial"/>
          <w:b/>
          <w:bCs/>
          <w:color w:val="000000" w:themeColor="text1"/>
          <w:u w:val="single"/>
          <w:lang w:val="en-US"/>
        </w:rPr>
      </w:pPr>
      <w:r>
        <w:rPr>
          <w:rFonts w:ascii="Arial" w:hAnsi="Arial" w:cs="Arial"/>
          <w:b/>
          <w:bCs/>
          <w:color w:val="000000" w:themeColor="text1"/>
          <w:u w:val="single"/>
          <w:lang w:val="en-US"/>
        </w:rPr>
        <w:t xml:space="preserve">Health Issues Related </w:t>
      </w:r>
      <w:r w:rsidR="00E658E9">
        <w:rPr>
          <w:rFonts w:ascii="Arial" w:hAnsi="Arial" w:cs="Arial"/>
          <w:b/>
          <w:bCs/>
          <w:color w:val="000000" w:themeColor="text1"/>
          <w:u w:val="single"/>
          <w:lang w:val="en-US"/>
        </w:rPr>
        <w:t>to</w:t>
      </w:r>
      <w:r>
        <w:rPr>
          <w:rFonts w:ascii="Arial" w:hAnsi="Arial" w:cs="Arial"/>
          <w:b/>
          <w:bCs/>
          <w:color w:val="000000" w:themeColor="text1"/>
          <w:u w:val="single"/>
          <w:lang w:val="en-US"/>
        </w:rPr>
        <w:t xml:space="preserve"> Poverty in </w:t>
      </w:r>
      <w:r w:rsidR="003B2F4F">
        <w:rPr>
          <w:rFonts w:ascii="Arial" w:hAnsi="Arial" w:cs="Arial"/>
          <w:b/>
          <w:bCs/>
          <w:color w:val="000000" w:themeColor="text1"/>
          <w:u w:val="single"/>
          <w:lang w:val="en-US"/>
        </w:rPr>
        <w:t>Mexico</w:t>
      </w:r>
    </w:p>
    <w:p w14:paraId="33327EC9" w14:textId="77777777" w:rsidR="00D81C15" w:rsidRPr="00D81C15" w:rsidRDefault="00D81C15" w:rsidP="00D81C15">
      <w:pPr>
        <w:jc w:val="both"/>
        <w:rPr>
          <w:rFonts w:ascii="Arial" w:hAnsi="Arial" w:cs="Arial"/>
          <w:color w:val="000000" w:themeColor="text1"/>
          <w:lang w:val="en-US"/>
        </w:rPr>
      </w:pPr>
      <w:r w:rsidRPr="00D81C15">
        <w:rPr>
          <w:rFonts w:ascii="Arial" w:hAnsi="Arial" w:cs="Arial"/>
          <w:color w:val="000000" w:themeColor="text1"/>
          <w:lang w:val="en-US"/>
        </w:rPr>
        <w:t>Poverty in Mexico leads to:</w:t>
      </w:r>
    </w:p>
    <w:p w14:paraId="3336BEC9" w14:textId="77777777" w:rsidR="00D81C15" w:rsidRPr="00D81C15" w:rsidRDefault="00D81C15" w:rsidP="00D81C15">
      <w:pPr>
        <w:jc w:val="both"/>
        <w:rPr>
          <w:rFonts w:ascii="Arial" w:hAnsi="Arial" w:cs="Arial"/>
          <w:color w:val="000000" w:themeColor="text1"/>
          <w:lang w:val="en-US"/>
        </w:rPr>
      </w:pPr>
      <w:r w:rsidRPr="00D81C15">
        <w:rPr>
          <w:rFonts w:ascii="Arial" w:hAnsi="Arial" w:cs="Arial"/>
          <w:color w:val="000000" w:themeColor="text1"/>
          <w:lang w:val="en-US"/>
        </w:rPr>
        <w:t>Limited access to healthcare: Impoverished individuals face barriers such as high healthcare costs, lack of insurance coverage, and limited availability of healthcare facilities, resulting in delayed or inadequate medical care.</w:t>
      </w:r>
    </w:p>
    <w:p w14:paraId="5641EFB9" w14:textId="77777777" w:rsidR="00D81C15" w:rsidRPr="00D81C15" w:rsidRDefault="00D81C15" w:rsidP="00D81C15">
      <w:pPr>
        <w:jc w:val="both"/>
        <w:rPr>
          <w:rFonts w:ascii="Arial" w:hAnsi="Arial" w:cs="Arial"/>
          <w:color w:val="000000" w:themeColor="text1"/>
          <w:lang w:val="en-US"/>
        </w:rPr>
      </w:pPr>
      <w:r w:rsidRPr="00D81C15">
        <w:rPr>
          <w:rFonts w:ascii="Arial" w:hAnsi="Arial" w:cs="Arial"/>
          <w:color w:val="000000" w:themeColor="text1"/>
          <w:lang w:val="en-US"/>
        </w:rPr>
        <w:t>Malnutrition and food insecurity: Poverty restricts access to nutritious food, leading to inadequate diets and deficiencies in essential nutrients, particularly among children. This increases the risk of health conditions and affects physical and cognitive development.</w:t>
      </w:r>
    </w:p>
    <w:p w14:paraId="3A9669B8" w14:textId="77777777" w:rsidR="00D81C15" w:rsidRPr="00D81C15" w:rsidRDefault="00D81C15" w:rsidP="00D81C15">
      <w:pPr>
        <w:jc w:val="both"/>
        <w:rPr>
          <w:rFonts w:ascii="Arial" w:hAnsi="Arial" w:cs="Arial"/>
          <w:color w:val="000000" w:themeColor="text1"/>
          <w:lang w:val="en-US"/>
        </w:rPr>
      </w:pPr>
      <w:r w:rsidRPr="00D81C15">
        <w:rPr>
          <w:rFonts w:ascii="Arial" w:hAnsi="Arial" w:cs="Arial"/>
          <w:color w:val="000000" w:themeColor="text1"/>
          <w:lang w:val="en-US"/>
        </w:rPr>
        <w:t>Mental health issues: Poverty-related stressors, including financial strain, unstable living conditions, and limited opportunities, contribute to mental health disorders such as depression, anxiety, and substance abuse.</w:t>
      </w:r>
    </w:p>
    <w:p w14:paraId="111AB806" w14:textId="71E6BAB0" w:rsidR="00DA342B" w:rsidRPr="00935A08" w:rsidRDefault="00DA342B" w:rsidP="00537FBE">
      <w:pPr>
        <w:jc w:val="both"/>
        <w:rPr>
          <w:rFonts w:ascii="Arial" w:hAnsi="Arial" w:cs="Arial"/>
          <w:b/>
          <w:bCs/>
          <w:sz w:val="24"/>
          <w:szCs w:val="24"/>
          <w:u w:val="single"/>
          <w:lang w:val="en-US"/>
        </w:rPr>
      </w:pPr>
      <w:r w:rsidRPr="00935A08">
        <w:rPr>
          <w:rFonts w:ascii="Arial" w:hAnsi="Arial" w:cs="Arial"/>
          <w:b/>
          <w:bCs/>
          <w:sz w:val="24"/>
          <w:szCs w:val="24"/>
          <w:u w:val="single"/>
          <w:lang w:val="en-US"/>
        </w:rPr>
        <w:t>Focus Questions</w:t>
      </w:r>
    </w:p>
    <w:p w14:paraId="546BA6C7" w14:textId="5D518EFB" w:rsidR="008E6A15" w:rsidRPr="008E6A15" w:rsidRDefault="00FA1BC7" w:rsidP="00DA342B">
      <w:pPr>
        <w:rPr>
          <w:rFonts w:ascii="Arial" w:hAnsi="Arial" w:cs="Arial"/>
          <w:color w:val="000000" w:themeColor="text1"/>
        </w:rPr>
      </w:pPr>
      <w:r w:rsidRPr="00FA1BC7">
        <w:rPr>
          <w:rFonts w:ascii="Arial" w:hAnsi="Arial" w:cs="Arial"/>
          <w:b/>
          <w:bCs/>
        </w:rPr>
        <w:t>Evaluate the relationship between the social determinant of unemployability and the issue of poverty in Mexico.</w:t>
      </w:r>
    </w:p>
    <w:p w14:paraId="4526C910" w14:textId="24356C87" w:rsidR="008E6A15" w:rsidRPr="008E6A15" w:rsidRDefault="008E6A15" w:rsidP="008E6A15">
      <w:pPr>
        <w:rPr>
          <w:rFonts w:ascii="Arial" w:hAnsi="Arial" w:cs="Arial"/>
        </w:rPr>
      </w:pPr>
      <w:r w:rsidRPr="008E6A15">
        <w:rPr>
          <w:rFonts w:ascii="Arial" w:hAnsi="Arial" w:cs="Arial"/>
        </w:rPr>
        <w:t>Education and skills mismatch: Many individuals lack the necessary skills and qualifications required for available job opportunities, leading to higher levels of unemployment or underemployment. This mismatch hinders their employability and contributes to the persistence of poverty.</w:t>
      </w:r>
    </w:p>
    <w:p w14:paraId="1686BBFE" w14:textId="77777777" w:rsidR="008E6A15" w:rsidRPr="008E6A15" w:rsidRDefault="008E6A15" w:rsidP="008E6A15">
      <w:pPr>
        <w:rPr>
          <w:rFonts w:ascii="Arial" w:hAnsi="Arial" w:cs="Arial"/>
        </w:rPr>
      </w:pPr>
      <w:r w:rsidRPr="008E6A15">
        <w:rPr>
          <w:rFonts w:ascii="Arial" w:hAnsi="Arial" w:cs="Arial"/>
        </w:rPr>
        <w:t>Cyclical nature: Unemployment and poverty form a cyclical relationship in Mexico. Individuals living in poverty often face barriers to accessing resources for acquiring education and skills, which would enhance their employability. Without meaningful employment, they are unable to improve their economic conditions, leading to the intergenerational transmission of poverty.</w:t>
      </w:r>
    </w:p>
    <w:p w14:paraId="6F2A2E1C" w14:textId="32530233" w:rsidR="008E6A15" w:rsidRDefault="008E6A15" w:rsidP="008E6A15">
      <w:pPr>
        <w:rPr>
          <w:rFonts w:ascii="Arial" w:hAnsi="Arial" w:cs="Arial"/>
        </w:rPr>
      </w:pPr>
      <w:r w:rsidRPr="008E6A15">
        <w:rPr>
          <w:rFonts w:ascii="Arial" w:hAnsi="Arial" w:cs="Arial"/>
        </w:rPr>
        <w:t>Lack of employment opportunities: Mexico struggles to generate a sufficient number of jobs to meet the needs of its growing population. Limited job opportunities make it difficult for individuals to secure employment, leaving them vulnerable to poverty. The lack of employment options hinders people's ability to earn a stable income and escape poverty.</w:t>
      </w:r>
    </w:p>
    <w:p w14:paraId="38A22EE2" w14:textId="77777777" w:rsidR="006B7069" w:rsidRDefault="006B7069" w:rsidP="00DA342B">
      <w:pPr>
        <w:rPr>
          <w:rFonts w:ascii="Arial" w:hAnsi="Arial" w:cs="Arial"/>
          <w:b/>
          <w:bCs/>
        </w:rPr>
      </w:pPr>
    </w:p>
    <w:p w14:paraId="70A53374" w14:textId="69C69BE4" w:rsidR="006B7069" w:rsidRPr="006B7069" w:rsidRDefault="006B7069" w:rsidP="00DA342B">
      <w:pPr>
        <w:rPr>
          <w:rFonts w:ascii="Arial" w:hAnsi="Arial" w:cs="Arial"/>
          <w:b/>
          <w:bCs/>
        </w:rPr>
      </w:pPr>
      <w:r w:rsidRPr="006B7069">
        <w:rPr>
          <w:rFonts w:ascii="Arial" w:hAnsi="Arial" w:cs="Arial"/>
          <w:b/>
          <w:bCs/>
        </w:rPr>
        <w:t>Discuss the issue of addiction and substance abuse in Mexico and how it influences the prevalence of poverty.</w:t>
      </w:r>
    </w:p>
    <w:p w14:paraId="76490AB7" w14:textId="77777777" w:rsidR="00F41A95" w:rsidRPr="00F41A95" w:rsidRDefault="00F41A95" w:rsidP="00F41A95">
      <w:pPr>
        <w:rPr>
          <w:rFonts w:ascii="Arial" w:hAnsi="Arial" w:cs="Arial"/>
        </w:rPr>
      </w:pPr>
      <w:r w:rsidRPr="00F41A95">
        <w:rPr>
          <w:rFonts w:ascii="Arial" w:hAnsi="Arial" w:cs="Arial"/>
        </w:rPr>
        <w:t>Health consequences: Substance abuse in Mexico leads to severe health problems, including physical ailments, mental disorders, and impaired cognitive functioning. These health issues can hinder individuals' ability to participate in the workforce and decrease their productivity, leading to decreased earning potential and financial strain, ultimately contributing to poverty.</w:t>
      </w:r>
    </w:p>
    <w:p w14:paraId="6B2CFCEC" w14:textId="19020630" w:rsidR="00F41A95" w:rsidRPr="00F41A95" w:rsidRDefault="00F41A95" w:rsidP="00F41A95">
      <w:pPr>
        <w:rPr>
          <w:rFonts w:ascii="Arial" w:hAnsi="Arial" w:cs="Arial"/>
        </w:rPr>
      </w:pPr>
      <w:r w:rsidRPr="00F41A95">
        <w:rPr>
          <w:rFonts w:ascii="Arial" w:hAnsi="Arial" w:cs="Arial"/>
        </w:rPr>
        <w:t xml:space="preserve">Loss of employment and economic instability: Substance abuse disrupts individuals' work performance, making them less </w:t>
      </w:r>
      <w:r w:rsidR="00AE14C3">
        <w:rPr>
          <w:rFonts w:ascii="Arial" w:hAnsi="Arial" w:cs="Arial"/>
        </w:rPr>
        <w:t>useful</w:t>
      </w:r>
      <w:r w:rsidRPr="00F41A95">
        <w:rPr>
          <w:rFonts w:ascii="Arial" w:hAnsi="Arial" w:cs="Arial"/>
        </w:rPr>
        <w:t xml:space="preserve"> to employers and leading to job loss or difficulty in finding and maintaining employment. This loss of employment and economic instability results in decreased income, increased financial hardships, and a higher likelihood of experiencing poverty.</w:t>
      </w:r>
    </w:p>
    <w:p w14:paraId="4528F2DF" w14:textId="37EFE00C" w:rsidR="006B7069" w:rsidRDefault="00F41A95" w:rsidP="00F41A95">
      <w:pPr>
        <w:rPr>
          <w:rFonts w:ascii="Arial" w:hAnsi="Arial" w:cs="Arial"/>
        </w:rPr>
      </w:pPr>
      <w:r w:rsidRPr="00F41A95">
        <w:rPr>
          <w:rFonts w:ascii="Arial" w:hAnsi="Arial" w:cs="Arial"/>
        </w:rPr>
        <w:t>Crime and social instability: Substance abuse is associated with involvement in criminal activities, including drug trafficking and related violence. The presence of drug cartels and drug-related crime in certain regions of Mexico exacerbates poverty by creating an environment of social instability, hindering economic growth, and reducing investment opportunities.</w:t>
      </w:r>
    </w:p>
    <w:p w14:paraId="46F308E9" w14:textId="7B7814DD" w:rsidR="00A14568" w:rsidRPr="00A14568" w:rsidRDefault="00A14568" w:rsidP="00A14568">
      <w:pPr>
        <w:rPr>
          <w:rFonts w:ascii="Arial" w:hAnsi="Arial" w:cs="Arial"/>
          <w:b/>
          <w:bCs/>
          <w:u w:val="single"/>
        </w:rPr>
      </w:pPr>
      <w:r w:rsidRPr="00A14568">
        <w:rPr>
          <w:rFonts w:ascii="Arial" w:hAnsi="Arial" w:cs="Arial"/>
          <w:b/>
          <w:bCs/>
          <w:u w:val="single"/>
        </w:rPr>
        <w:t>Argument</w:t>
      </w:r>
    </w:p>
    <w:p w14:paraId="45288C22" w14:textId="54C58F3F" w:rsidR="0044426D" w:rsidRPr="0044426D" w:rsidRDefault="0044426D" w:rsidP="0044426D">
      <w:pPr>
        <w:rPr>
          <w:rFonts w:ascii="Arial" w:hAnsi="Arial" w:cs="Arial"/>
        </w:rPr>
      </w:pPr>
      <w:r w:rsidRPr="0044426D">
        <w:rPr>
          <w:rFonts w:ascii="Arial" w:hAnsi="Arial" w:cs="Arial"/>
        </w:rPr>
        <w:t>If poverty is not overcome in Mexico, the country will face socioeconomic inequality, compromised health and well-being</w:t>
      </w:r>
      <w:r w:rsidR="00D546E7">
        <w:rPr>
          <w:rFonts w:ascii="Arial" w:hAnsi="Arial" w:cs="Arial"/>
        </w:rPr>
        <w:t xml:space="preserve"> and</w:t>
      </w:r>
      <w:r w:rsidRPr="0044426D">
        <w:rPr>
          <w:rFonts w:ascii="Arial" w:hAnsi="Arial" w:cs="Arial"/>
        </w:rPr>
        <w:t xml:space="preserve"> social exclusi</w:t>
      </w:r>
      <w:r w:rsidR="00D546E7">
        <w:rPr>
          <w:rFonts w:ascii="Arial" w:hAnsi="Arial" w:cs="Arial"/>
        </w:rPr>
        <w:t>on.</w:t>
      </w:r>
    </w:p>
    <w:p w14:paraId="3F94C221" w14:textId="705027C0" w:rsidR="0044426D" w:rsidRPr="0044426D" w:rsidRDefault="0044426D" w:rsidP="0044426D">
      <w:pPr>
        <w:rPr>
          <w:rFonts w:ascii="Arial" w:hAnsi="Arial" w:cs="Arial"/>
        </w:rPr>
      </w:pPr>
      <w:r w:rsidRPr="0044426D">
        <w:rPr>
          <w:rFonts w:ascii="Arial" w:hAnsi="Arial" w:cs="Arial"/>
        </w:rPr>
        <w:t xml:space="preserve">Socioeconomic Inequality: Persistent poverty perpetuates socioeconomic inequality, with a wide gap between the rich and the poor. This inequality fosters social divisions, hampers social cohesion, and undermines trust in </w:t>
      </w:r>
      <w:r w:rsidR="00AA640A">
        <w:rPr>
          <w:rFonts w:ascii="Arial" w:hAnsi="Arial" w:cs="Arial"/>
        </w:rPr>
        <w:t>organisations</w:t>
      </w:r>
      <w:r w:rsidRPr="0044426D">
        <w:rPr>
          <w:rFonts w:ascii="Arial" w:hAnsi="Arial" w:cs="Arial"/>
        </w:rPr>
        <w:t>. It can lead to social unrest, crime rates, and political instability, ultimately hindering the overall progress and development of Mexico.</w:t>
      </w:r>
    </w:p>
    <w:p w14:paraId="48E8344B" w14:textId="77777777" w:rsidR="0044426D" w:rsidRPr="0044426D" w:rsidRDefault="0044426D" w:rsidP="0044426D">
      <w:pPr>
        <w:rPr>
          <w:rFonts w:ascii="Arial" w:hAnsi="Arial" w:cs="Arial"/>
        </w:rPr>
      </w:pPr>
      <w:r w:rsidRPr="0044426D">
        <w:rPr>
          <w:rFonts w:ascii="Arial" w:hAnsi="Arial" w:cs="Arial"/>
        </w:rPr>
        <w:t>Health and Well-being: Poverty affects the health and well-being of individuals and communities. Limited access to healthcare, proper nutrition, and sanitation facilities leads to higher rates of illness, malnutrition, and preventable diseases. Without adequate resources to address these health challenges, the cycle of poverty continues as people struggle to escape the burden of poor health and reduced productivity.</w:t>
      </w:r>
    </w:p>
    <w:p w14:paraId="41A3E0C7" w14:textId="0F2B05F4" w:rsidR="00A14568" w:rsidRDefault="0044426D" w:rsidP="0044426D">
      <w:pPr>
        <w:rPr>
          <w:rFonts w:ascii="Arial" w:hAnsi="Arial" w:cs="Arial"/>
        </w:rPr>
      </w:pPr>
      <w:r w:rsidRPr="0044426D">
        <w:rPr>
          <w:rFonts w:ascii="Arial" w:hAnsi="Arial" w:cs="Arial"/>
        </w:rPr>
        <w:t>Social Exclusion: Poverty marginalizes individuals and groups, making it difficult for them to participate fully in social, economic, and political spheres. The exclusion of a significant portion of the population perpetuates a sense of alienation, erodes social cohesion, and undermines democratic processes. Overcoming poverty is crucial for fostering inclusivity, equal opportunities, and a thriving civil society.</w:t>
      </w:r>
    </w:p>
    <w:p w14:paraId="2EBE01EA" w14:textId="77777777" w:rsidR="00F41A95" w:rsidRPr="00F41A95" w:rsidRDefault="00F41A95" w:rsidP="00F41A95">
      <w:pPr>
        <w:rPr>
          <w:rFonts w:ascii="Arial" w:hAnsi="Arial" w:cs="Arial"/>
        </w:rPr>
      </w:pPr>
    </w:p>
    <w:p w14:paraId="354E58E4" w14:textId="034E229B" w:rsidR="00CA015C" w:rsidRPr="007F010A" w:rsidRDefault="00DA342B" w:rsidP="00DA342B">
      <w:pPr>
        <w:rPr>
          <w:rFonts w:ascii="Arial" w:hAnsi="Arial" w:cs="Arial"/>
          <w:u w:val="single"/>
          <w:lang w:val="en-US"/>
        </w:rPr>
      </w:pPr>
      <w:r w:rsidRPr="007F010A">
        <w:rPr>
          <w:rFonts w:ascii="Arial" w:hAnsi="Arial" w:cs="Arial"/>
          <w:b/>
          <w:bCs/>
          <w:i/>
          <w:iCs/>
          <w:sz w:val="24"/>
          <w:szCs w:val="24"/>
          <w:u w:val="single"/>
        </w:rPr>
        <w:t>Sources of Information</w:t>
      </w:r>
      <w:r w:rsidRPr="007F010A">
        <w:rPr>
          <w:rFonts w:ascii="Arial" w:hAnsi="Arial" w:cs="Arial"/>
          <w:b/>
          <w:bCs/>
          <w:i/>
          <w:iCs/>
          <w:sz w:val="24"/>
          <w:szCs w:val="24"/>
          <w:u w:val="single"/>
        </w:rPr>
        <w:br/>
      </w:r>
    </w:p>
    <w:tbl>
      <w:tblPr>
        <w:tblStyle w:val="TableGrid"/>
        <w:tblW w:w="0" w:type="auto"/>
        <w:tblLook w:val="04A0" w:firstRow="1" w:lastRow="0" w:firstColumn="1" w:lastColumn="0" w:noHBand="0" w:noVBand="1"/>
      </w:tblPr>
      <w:tblGrid>
        <w:gridCol w:w="5878"/>
        <w:gridCol w:w="4578"/>
      </w:tblGrid>
      <w:tr w:rsidR="00B103A9" w14:paraId="1833A047" w14:textId="77777777" w:rsidTr="00151736">
        <w:trPr>
          <w:trHeight w:val="383"/>
        </w:trPr>
        <w:tc>
          <w:tcPr>
            <w:tcW w:w="5878" w:type="dxa"/>
          </w:tcPr>
          <w:p w14:paraId="30C9E623" w14:textId="77777777" w:rsidR="00DA342B" w:rsidRPr="00157057" w:rsidRDefault="00DA342B">
            <w:pPr>
              <w:rPr>
                <w:rFonts w:ascii="Arial" w:hAnsi="Arial" w:cs="Arial"/>
                <w:b/>
                <w:bCs/>
                <w:i/>
                <w:iCs/>
                <w:lang w:val="en-US"/>
              </w:rPr>
            </w:pPr>
            <w:r w:rsidRPr="00157057">
              <w:rPr>
                <w:rFonts w:ascii="Arial" w:hAnsi="Arial" w:cs="Arial"/>
                <w:b/>
                <w:bCs/>
                <w:i/>
                <w:iCs/>
                <w:lang w:val="en-US"/>
              </w:rPr>
              <w:t>Source</w:t>
            </w:r>
          </w:p>
        </w:tc>
        <w:tc>
          <w:tcPr>
            <w:tcW w:w="4578" w:type="dxa"/>
          </w:tcPr>
          <w:p w14:paraId="4C8EAA99" w14:textId="77777777" w:rsidR="00DA342B" w:rsidRPr="00157057" w:rsidRDefault="00DA342B">
            <w:pPr>
              <w:rPr>
                <w:rFonts w:ascii="Arial" w:hAnsi="Arial" w:cs="Arial"/>
                <w:b/>
                <w:bCs/>
                <w:i/>
                <w:iCs/>
                <w:lang w:val="en-US"/>
              </w:rPr>
            </w:pPr>
            <w:r w:rsidRPr="00157057">
              <w:rPr>
                <w:rFonts w:ascii="Arial" w:hAnsi="Arial" w:cs="Arial"/>
                <w:b/>
                <w:bCs/>
                <w:i/>
                <w:iCs/>
                <w:lang w:val="en-US"/>
              </w:rPr>
              <w:t>How the source encompasses recency, relevancy, and reliability</w:t>
            </w:r>
          </w:p>
        </w:tc>
      </w:tr>
      <w:tr w:rsidR="00B103A9" w14:paraId="07D28B6B" w14:textId="77777777" w:rsidTr="00151736">
        <w:trPr>
          <w:trHeight w:val="789"/>
        </w:trPr>
        <w:tc>
          <w:tcPr>
            <w:tcW w:w="5878" w:type="dxa"/>
          </w:tcPr>
          <w:p w14:paraId="0F987E77" w14:textId="41A3FCE0" w:rsidR="00DA342B" w:rsidRDefault="00710F05">
            <w:pPr>
              <w:rPr>
                <w:rFonts w:ascii="Arial" w:hAnsi="Arial" w:cs="Arial"/>
                <w:lang w:val="en-US"/>
              </w:rPr>
            </w:pPr>
            <w:r>
              <w:rPr>
                <w:rFonts w:ascii="Arial" w:hAnsi="Arial" w:cs="Arial"/>
                <w:lang w:val="en-US"/>
              </w:rPr>
              <w:t>Government Source</w:t>
            </w:r>
            <w:r w:rsidR="00DA342B">
              <w:rPr>
                <w:rFonts w:ascii="Arial" w:hAnsi="Arial" w:cs="Arial"/>
                <w:lang w:val="en-US"/>
              </w:rPr>
              <w:t xml:space="preserve">: </w:t>
            </w:r>
            <w:r w:rsidR="00955583">
              <w:rPr>
                <w:rFonts w:ascii="Arial" w:hAnsi="Arial" w:cs="Arial"/>
                <w:lang w:val="en-US"/>
              </w:rPr>
              <w:t>Government of Mexico</w:t>
            </w:r>
          </w:p>
          <w:p w14:paraId="68385752" w14:textId="5D6121EB" w:rsidR="00DB67CC" w:rsidRPr="004C4E41" w:rsidRDefault="00DC2DBE">
            <w:pPr>
              <w:rPr>
                <w:rFonts w:ascii="Arial" w:hAnsi="Arial" w:cs="Arial"/>
                <w:noProof/>
                <w:lang w:val="en-US"/>
              </w:rPr>
            </w:pPr>
            <w:hyperlink r:id="rId9" w:history="1">
              <w:r w:rsidR="00DB67CC" w:rsidRPr="00975CEF">
                <w:rPr>
                  <w:rStyle w:val="Hyperlink"/>
                  <w:rFonts w:ascii="Arial" w:hAnsi="Arial" w:cs="Arial"/>
                  <w:noProof/>
                  <w:lang w:val="en-US"/>
                </w:rPr>
                <w:t>https://www.gob.mx/</w:t>
              </w:r>
            </w:hyperlink>
          </w:p>
        </w:tc>
        <w:tc>
          <w:tcPr>
            <w:tcW w:w="4578" w:type="dxa"/>
          </w:tcPr>
          <w:p w14:paraId="547AD88D" w14:textId="6CEA4496" w:rsidR="00DA342B" w:rsidRDefault="004270DF">
            <w:pPr>
              <w:rPr>
                <w:rFonts w:ascii="Arial" w:hAnsi="Arial" w:cs="Arial"/>
                <w:lang w:val="en-US"/>
              </w:rPr>
            </w:pPr>
            <w:r w:rsidRPr="004270DF">
              <w:rPr>
                <w:rFonts w:ascii="Arial" w:hAnsi="Arial" w:cs="Arial"/>
                <w:lang w:val="en-US"/>
              </w:rPr>
              <w:t>Government sources are considered reliable and credible due to their authority, access to resources, independence and objectivity, peer review processes, long-term perspective, and accountability to the public.</w:t>
            </w:r>
          </w:p>
        </w:tc>
      </w:tr>
      <w:tr w:rsidR="00B103A9" w14:paraId="03A119B0" w14:textId="77777777" w:rsidTr="00151736">
        <w:trPr>
          <w:trHeight w:val="1161"/>
        </w:trPr>
        <w:tc>
          <w:tcPr>
            <w:tcW w:w="5878" w:type="dxa"/>
          </w:tcPr>
          <w:p w14:paraId="5E3E4CD1" w14:textId="2F8E81D7" w:rsidR="00710F05" w:rsidRDefault="00710F05">
            <w:pPr>
              <w:rPr>
                <w:rFonts w:ascii="Arial" w:hAnsi="Arial" w:cs="Arial"/>
                <w:lang w:val="en-US"/>
              </w:rPr>
            </w:pPr>
            <w:r>
              <w:rPr>
                <w:rFonts w:ascii="Arial" w:hAnsi="Arial" w:cs="Arial"/>
                <w:lang w:val="en-US"/>
              </w:rPr>
              <w:t xml:space="preserve">Peer Reviewed: </w:t>
            </w:r>
            <w:proofErr w:type="spellStart"/>
            <w:r w:rsidR="00CA2A67">
              <w:rPr>
                <w:rFonts w:ascii="Arial" w:hAnsi="Arial" w:cs="Arial"/>
                <w:lang w:val="en-US"/>
              </w:rPr>
              <w:t>Labour</w:t>
            </w:r>
            <w:proofErr w:type="spellEnd"/>
            <w:r w:rsidR="00CA2A67">
              <w:rPr>
                <w:rFonts w:ascii="Arial" w:hAnsi="Arial" w:cs="Arial"/>
                <w:lang w:val="en-US"/>
              </w:rPr>
              <w:t xml:space="preserve"> income </w:t>
            </w:r>
            <w:r w:rsidR="00B67A7F">
              <w:rPr>
                <w:rFonts w:ascii="Arial" w:hAnsi="Arial" w:cs="Arial"/>
                <w:lang w:val="en-US"/>
              </w:rPr>
              <w:t>inequality.</w:t>
            </w:r>
          </w:p>
          <w:p w14:paraId="5E313A88" w14:textId="25027E00" w:rsidR="00DA342B" w:rsidRDefault="00DC2DBE">
            <w:pPr>
              <w:rPr>
                <w:rFonts w:ascii="Arial" w:hAnsi="Arial" w:cs="Arial"/>
                <w:lang w:val="en-US"/>
              </w:rPr>
            </w:pPr>
            <w:hyperlink r:id="rId10" w:history="1">
              <w:r w:rsidR="00710F05" w:rsidRPr="00975CEF">
                <w:rPr>
                  <w:rStyle w:val="Hyperlink"/>
                  <w:rFonts w:ascii="Arial" w:hAnsi="Arial" w:cs="Arial"/>
                  <w:lang w:val="en-US"/>
                </w:rPr>
                <w:t>https://www.undp.org/sites/g/files/zskgke326/files/2023-04/UNDP-RBLAC-PNUD_WckPapers_37%20%281%29.pdf</w:t>
              </w:r>
            </w:hyperlink>
          </w:p>
          <w:p w14:paraId="015822E8" w14:textId="69747262" w:rsidR="008C4B6D" w:rsidRDefault="008C4B6D">
            <w:pPr>
              <w:rPr>
                <w:rFonts w:ascii="Arial" w:hAnsi="Arial" w:cs="Arial"/>
                <w:lang w:val="en-US"/>
              </w:rPr>
            </w:pPr>
          </w:p>
        </w:tc>
        <w:tc>
          <w:tcPr>
            <w:tcW w:w="4578" w:type="dxa"/>
          </w:tcPr>
          <w:p w14:paraId="2D3FCCD0" w14:textId="65C418FB" w:rsidR="00DA342B" w:rsidRDefault="009671B0">
            <w:pPr>
              <w:rPr>
                <w:rFonts w:ascii="Arial" w:hAnsi="Arial" w:cs="Arial"/>
                <w:lang w:val="en-US"/>
              </w:rPr>
            </w:pPr>
            <w:r w:rsidRPr="009671B0">
              <w:rPr>
                <w:rFonts w:ascii="Arial" w:hAnsi="Arial" w:cs="Arial"/>
                <w:lang w:val="en-US"/>
              </w:rPr>
              <w:t xml:space="preserve">Peer-reviewed sources are reliable and credible because they undergo </w:t>
            </w:r>
            <w:r>
              <w:rPr>
                <w:rFonts w:ascii="Arial" w:hAnsi="Arial" w:cs="Arial"/>
                <w:lang w:val="en-US"/>
              </w:rPr>
              <w:t xml:space="preserve">a </w:t>
            </w:r>
            <w:r w:rsidRPr="009671B0">
              <w:rPr>
                <w:rFonts w:ascii="Arial" w:hAnsi="Arial" w:cs="Arial"/>
                <w:lang w:val="en-US"/>
              </w:rPr>
              <w:t>thorough evaluation by experts, ensuring that the information meets rigorous scientific and academic standards.</w:t>
            </w:r>
          </w:p>
        </w:tc>
      </w:tr>
      <w:tr w:rsidR="00B103A9" w14:paraId="71D493E7" w14:textId="77777777" w:rsidTr="00151736">
        <w:trPr>
          <w:trHeight w:val="1480"/>
        </w:trPr>
        <w:tc>
          <w:tcPr>
            <w:tcW w:w="5878" w:type="dxa"/>
          </w:tcPr>
          <w:p w14:paraId="1858FDEA" w14:textId="77777777" w:rsidR="00DA342B" w:rsidRDefault="00880BA3">
            <w:pPr>
              <w:rPr>
                <w:rFonts w:ascii="Arial" w:hAnsi="Arial" w:cs="Arial"/>
                <w:color w:val="000000" w:themeColor="text1"/>
                <w:lang w:val="en-US"/>
              </w:rPr>
            </w:pPr>
            <w:r>
              <w:rPr>
                <w:rFonts w:ascii="Arial" w:hAnsi="Arial" w:cs="Arial"/>
                <w:color w:val="000000" w:themeColor="text1"/>
                <w:lang w:val="en-US"/>
              </w:rPr>
              <w:t>Unbiased</w:t>
            </w:r>
            <w:r w:rsidR="00B67A7F">
              <w:rPr>
                <w:rFonts w:ascii="Arial" w:hAnsi="Arial" w:cs="Arial"/>
                <w:color w:val="000000" w:themeColor="text1"/>
                <w:lang w:val="en-US"/>
              </w:rPr>
              <w:t>: The World Bank</w:t>
            </w:r>
          </w:p>
          <w:p w14:paraId="03B80F6C" w14:textId="79D55CF7" w:rsidR="00151736" w:rsidRDefault="00DC2DBE">
            <w:pPr>
              <w:rPr>
                <w:rFonts w:ascii="Arial" w:hAnsi="Arial" w:cs="Arial"/>
                <w:lang w:val="en-US"/>
              </w:rPr>
            </w:pPr>
            <w:hyperlink r:id="rId11" w:anchor="1" w:history="1">
              <w:r w:rsidR="00151736" w:rsidRPr="00975CEF">
                <w:rPr>
                  <w:rStyle w:val="Hyperlink"/>
                  <w:rFonts w:ascii="Arial" w:hAnsi="Arial" w:cs="Arial"/>
                  <w:lang w:val="en-US"/>
                </w:rPr>
                <w:t>https://www.worldbank.org/en/country/mexico/overview#1</w:t>
              </w:r>
            </w:hyperlink>
            <w:r w:rsidR="00151736" w:rsidRPr="00151736">
              <w:rPr>
                <w:rFonts w:ascii="Arial" w:hAnsi="Arial" w:cs="Arial"/>
                <w:lang w:val="en-US"/>
              </w:rPr>
              <w:t>.</w:t>
            </w:r>
          </w:p>
          <w:p w14:paraId="566336E9" w14:textId="624564A1" w:rsidR="00151736" w:rsidRDefault="00151736">
            <w:pPr>
              <w:rPr>
                <w:rFonts w:ascii="Arial" w:hAnsi="Arial" w:cs="Arial"/>
                <w:lang w:val="en-US"/>
              </w:rPr>
            </w:pPr>
          </w:p>
        </w:tc>
        <w:tc>
          <w:tcPr>
            <w:tcW w:w="4578" w:type="dxa"/>
          </w:tcPr>
          <w:p w14:paraId="373E7328" w14:textId="42604D6A" w:rsidR="00DA342B" w:rsidRPr="00F976D6" w:rsidRDefault="00BF7DE1">
            <w:pPr>
              <w:rPr>
                <w:rFonts w:ascii="Arial" w:hAnsi="Arial" w:cs="Arial"/>
                <w:color w:val="000000" w:themeColor="text1"/>
                <w:lang w:val="en-US"/>
              </w:rPr>
            </w:pPr>
            <w:r w:rsidRPr="00BF7DE1">
              <w:rPr>
                <w:rFonts w:ascii="Arial" w:hAnsi="Arial" w:cs="Arial"/>
                <w:color w:val="000000" w:themeColor="text1"/>
                <w:lang w:val="en-US"/>
              </w:rPr>
              <w:t>Unbiased sources are reliable and credible because they offer objective information, free from personal biases, ensuring the accuracy and integrity of the information presented.</w:t>
            </w:r>
          </w:p>
        </w:tc>
      </w:tr>
      <w:tr w:rsidR="00151736" w14:paraId="05391347" w14:textId="77777777" w:rsidTr="00151736">
        <w:trPr>
          <w:trHeight w:val="1480"/>
        </w:trPr>
        <w:tc>
          <w:tcPr>
            <w:tcW w:w="5878" w:type="dxa"/>
          </w:tcPr>
          <w:p w14:paraId="3540C204" w14:textId="77777777" w:rsidR="00151736" w:rsidRDefault="009A1FB5">
            <w:pPr>
              <w:rPr>
                <w:rFonts w:ascii="Arial" w:hAnsi="Arial" w:cs="Arial"/>
                <w:color w:val="000000" w:themeColor="text1"/>
                <w:lang w:val="en-US"/>
              </w:rPr>
            </w:pPr>
            <w:r>
              <w:rPr>
                <w:rFonts w:ascii="Arial" w:hAnsi="Arial" w:cs="Arial"/>
                <w:color w:val="000000" w:themeColor="text1"/>
                <w:lang w:val="en-US"/>
              </w:rPr>
              <w:t xml:space="preserve">Recency: </w:t>
            </w:r>
            <w:r w:rsidR="00176448">
              <w:rPr>
                <w:rFonts w:ascii="Arial" w:hAnsi="Arial" w:cs="Arial"/>
                <w:color w:val="000000" w:themeColor="text1"/>
                <w:lang w:val="en-US"/>
              </w:rPr>
              <w:t xml:space="preserve">World Health </w:t>
            </w:r>
            <w:proofErr w:type="spellStart"/>
            <w:r w:rsidR="00176448">
              <w:rPr>
                <w:rFonts w:ascii="Arial" w:hAnsi="Arial" w:cs="Arial"/>
                <w:color w:val="000000" w:themeColor="text1"/>
                <w:lang w:val="en-US"/>
              </w:rPr>
              <w:t>Organisation</w:t>
            </w:r>
            <w:proofErr w:type="spellEnd"/>
          </w:p>
          <w:p w14:paraId="1FA1D92D" w14:textId="609C7D5F" w:rsidR="00176448" w:rsidRDefault="00DC2DBE">
            <w:pPr>
              <w:rPr>
                <w:rStyle w:val="wdyuqq"/>
                <w:color w:val="605048"/>
              </w:rPr>
            </w:pPr>
            <w:hyperlink r:id="rId12" w:history="1">
              <w:r w:rsidR="00176448" w:rsidRPr="00975CEF">
                <w:rPr>
                  <w:rStyle w:val="Hyperlink"/>
                </w:rPr>
                <w:t>https://www.who.int/data/gho/data/countries/country-details/GHO/mexico?countryProfileId=3f585f95-5475-4cac-94b3-c55ad1ed731b</w:t>
              </w:r>
            </w:hyperlink>
            <w:r w:rsidR="00176448" w:rsidRPr="00176448">
              <w:rPr>
                <w:rStyle w:val="wdyuqq"/>
                <w:color w:val="605048"/>
              </w:rPr>
              <w:t>.</w:t>
            </w:r>
          </w:p>
          <w:p w14:paraId="08D3CAE8" w14:textId="1982780D" w:rsidR="00176448" w:rsidRDefault="00176448">
            <w:pPr>
              <w:rPr>
                <w:rFonts w:ascii="Arial" w:hAnsi="Arial" w:cs="Arial"/>
                <w:color w:val="000000" w:themeColor="text1"/>
                <w:lang w:val="en-US"/>
              </w:rPr>
            </w:pPr>
          </w:p>
        </w:tc>
        <w:tc>
          <w:tcPr>
            <w:tcW w:w="4578" w:type="dxa"/>
          </w:tcPr>
          <w:p w14:paraId="401BCA9F" w14:textId="4760B62B" w:rsidR="00151736" w:rsidRPr="00880BA3" w:rsidRDefault="00472584">
            <w:pPr>
              <w:rPr>
                <w:rFonts w:ascii="Arial" w:hAnsi="Arial" w:cs="Arial"/>
                <w:color w:val="000000" w:themeColor="text1"/>
                <w:lang w:val="en-US"/>
              </w:rPr>
            </w:pPr>
            <w:r w:rsidRPr="00472584">
              <w:rPr>
                <w:rFonts w:ascii="Arial" w:hAnsi="Arial" w:cs="Arial"/>
                <w:lang w:val="en-US"/>
              </w:rPr>
              <w:t>Recent sources are reliable and credible as they provide the most up-to-date information incorporating the latest research, developments, and understanding of a subject.</w:t>
            </w:r>
          </w:p>
        </w:tc>
      </w:tr>
      <w:tr w:rsidR="00151736" w14:paraId="3A0433B2" w14:textId="77777777" w:rsidTr="00151736">
        <w:trPr>
          <w:trHeight w:val="1480"/>
        </w:trPr>
        <w:tc>
          <w:tcPr>
            <w:tcW w:w="5878" w:type="dxa"/>
          </w:tcPr>
          <w:p w14:paraId="749DA2AA" w14:textId="7EEE482A" w:rsidR="00151736" w:rsidRDefault="002F0B66">
            <w:pPr>
              <w:rPr>
                <w:rFonts w:ascii="Arial" w:hAnsi="Arial" w:cs="Arial"/>
                <w:color w:val="000000" w:themeColor="text1"/>
                <w:lang w:val="en-US"/>
              </w:rPr>
            </w:pPr>
            <w:r>
              <w:rPr>
                <w:rFonts w:ascii="Arial" w:hAnsi="Arial" w:cs="Arial"/>
                <w:color w:val="000000" w:themeColor="text1"/>
                <w:lang w:val="en-US"/>
              </w:rPr>
              <w:t>Geographical Location Source:</w:t>
            </w:r>
          </w:p>
          <w:p w14:paraId="79A53247" w14:textId="2C79CA5D" w:rsidR="002F0B66" w:rsidRDefault="002F0B66">
            <w:pPr>
              <w:rPr>
                <w:rFonts w:ascii="Arial" w:hAnsi="Arial" w:cs="Arial"/>
                <w:color w:val="000000" w:themeColor="text1"/>
                <w:lang w:val="en-US"/>
              </w:rPr>
            </w:pPr>
          </w:p>
        </w:tc>
        <w:tc>
          <w:tcPr>
            <w:tcW w:w="4578" w:type="dxa"/>
          </w:tcPr>
          <w:p w14:paraId="5186C36E" w14:textId="49FF5884" w:rsidR="00151736" w:rsidRPr="00880BA3" w:rsidRDefault="00203E4A">
            <w:pPr>
              <w:rPr>
                <w:rFonts w:ascii="Arial" w:hAnsi="Arial" w:cs="Arial"/>
                <w:color w:val="000000" w:themeColor="text1"/>
                <w:lang w:val="en-US"/>
              </w:rPr>
            </w:pPr>
            <w:r w:rsidRPr="00203E4A">
              <w:rPr>
                <w:rFonts w:ascii="Arial" w:hAnsi="Arial" w:cs="Arial"/>
                <w:color w:val="000000" w:themeColor="text1"/>
                <w:lang w:val="en-US"/>
              </w:rPr>
              <w:t>Geographical sources are reliable and credible as they provide accurate information about specific locations through comprehensive data collection, expert involvement, and adherence to rigorous research methodologies.</w:t>
            </w:r>
          </w:p>
        </w:tc>
      </w:tr>
    </w:tbl>
    <w:p w14:paraId="19E06AEE" w14:textId="1C03AB54" w:rsidR="00DC1B7B" w:rsidRDefault="00DA342B" w:rsidP="00DC1B7B">
      <w:pPr>
        <w:rPr>
          <w:rFonts w:ascii="Arial" w:hAnsi="Arial" w:cs="Arial"/>
          <w:b/>
          <w:bCs/>
          <w:u w:val="single"/>
          <w:lang w:val="en-US"/>
        </w:rPr>
      </w:pPr>
      <w:r>
        <w:rPr>
          <w:rFonts w:ascii="Arial" w:hAnsi="Arial" w:cs="Arial"/>
          <w:lang w:val="en-US"/>
        </w:rPr>
        <w:br/>
      </w:r>
      <w:r w:rsidR="00DC1B7B">
        <w:rPr>
          <w:rFonts w:ascii="Arial" w:hAnsi="Arial" w:cs="Arial"/>
          <w:b/>
          <w:bCs/>
          <w:u w:val="single"/>
          <w:lang w:val="en-US"/>
        </w:rPr>
        <w:t>Trends and Patterns</w:t>
      </w:r>
    </w:p>
    <w:p w14:paraId="5D68D5D6" w14:textId="3B04F7DC" w:rsidR="00DC1B7B" w:rsidRDefault="008A7862" w:rsidP="00E52FDD">
      <w:pPr>
        <w:rPr>
          <w:rFonts w:ascii="Arial" w:hAnsi="Arial" w:cs="Arial"/>
          <w:lang w:val="en-US"/>
        </w:rPr>
      </w:pPr>
      <w:r>
        <w:rPr>
          <w:rFonts w:ascii="Arial" w:hAnsi="Arial" w:cs="Arial"/>
          <w:lang w:val="en-US"/>
        </w:rPr>
        <w:t>The graph on the left shows the poverty rate of Mexico in 2020</w:t>
      </w:r>
      <w:r w:rsidR="00751F08">
        <w:rPr>
          <w:rFonts w:ascii="Arial" w:hAnsi="Arial" w:cs="Arial"/>
          <w:lang w:val="en-US"/>
        </w:rPr>
        <w:t xml:space="preserve">, which was </w:t>
      </w:r>
      <w:r w:rsidR="00402D92">
        <w:rPr>
          <w:rFonts w:ascii="Arial" w:hAnsi="Arial" w:cs="Arial"/>
          <w:lang w:val="en-US"/>
        </w:rPr>
        <w:t>43.9%</w:t>
      </w:r>
      <w:r w:rsidR="003D76E5">
        <w:rPr>
          <w:rFonts w:ascii="Arial" w:hAnsi="Arial" w:cs="Arial"/>
          <w:lang w:val="en-US"/>
        </w:rPr>
        <w:t xml:space="preserve"> and in 2018, it was 41.9. </w:t>
      </w:r>
      <w:r w:rsidR="0052227C">
        <w:rPr>
          <w:rFonts w:ascii="Arial" w:hAnsi="Arial" w:cs="Arial"/>
          <w:lang w:val="en-US"/>
        </w:rPr>
        <w:t>Therefore,</w:t>
      </w:r>
      <w:r w:rsidR="003D76E5">
        <w:rPr>
          <w:rFonts w:ascii="Arial" w:hAnsi="Arial" w:cs="Arial"/>
          <w:lang w:val="en-US"/>
        </w:rPr>
        <w:t xml:space="preserve"> </w:t>
      </w:r>
      <w:r w:rsidR="002C00FD">
        <w:rPr>
          <w:rFonts w:ascii="Arial" w:hAnsi="Arial" w:cs="Arial"/>
          <w:lang w:val="en-US"/>
        </w:rPr>
        <w:t>the graph shows a positive trend between 201</w:t>
      </w:r>
      <w:r w:rsidR="00721295">
        <w:rPr>
          <w:rFonts w:ascii="Arial" w:hAnsi="Arial" w:cs="Arial"/>
          <w:lang w:val="en-US"/>
        </w:rPr>
        <w:t xml:space="preserve">8 and </w:t>
      </w:r>
      <w:r w:rsidR="00D00074">
        <w:rPr>
          <w:rFonts w:ascii="Arial" w:hAnsi="Arial" w:cs="Arial"/>
          <w:lang w:val="en-US"/>
        </w:rPr>
        <w:t>2020.</w:t>
      </w:r>
    </w:p>
    <w:p w14:paraId="48885D90" w14:textId="282C4467" w:rsidR="00E04CF7" w:rsidRPr="008A7862" w:rsidRDefault="0052227C" w:rsidP="00E52FDD">
      <w:pPr>
        <w:rPr>
          <w:rFonts w:ascii="Arial" w:hAnsi="Arial" w:cs="Arial"/>
          <w:lang w:val="en-US"/>
        </w:rPr>
      </w:pPr>
      <w:r>
        <w:rPr>
          <w:rFonts w:ascii="Arial" w:hAnsi="Arial" w:cs="Arial"/>
          <w:lang w:val="en-US"/>
        </w:rPr>
        <w:t xml:space="preserve">The graph </w:t>
      </w:r>
      <w:r w:rsidR="00597E87">
        <w:rPr>
          <w:rFonts w:ascii="Arial" w:hAnsi="Arial" w:cs="Arial"/>
          <w:lang w:val="en-US"/>
        </w:rPr>
        <w:t xml:space="preserve">on the right </w:t>
      </w:r>
      <w:r>
        <w:rPr>
          <w:rFonts w:ascii="Arial" w:hAnsi="Arial" w:cs="Arial"/>
          <w:lang w:val="en-US"/>
        </w:rPr>
        <w:t>shows the unemployment rate in Mexico</w:t>
      </w:r>
      <w:r w:rsidR="006C4F90">
        <w:rPr>
          <w:rFonts w:ascii="Arial" w:hAnsi="Arial" w:cs="Arial"/>
          <w:lang w:val="en-US"/>
        </w:rPr>
        <w:t xml:space="preserve"> </w:t>
      </w:r>
      <w:r w:rsidR="00DF062C">
        <w:rPr>
          <w:rFonts w:ascii="Arial" w:hAnsi="Arial" w:cs="Arial"/>
          <w:lang w:val="en-US"/>
        </w:rPr>
        <w:t>between</w:t>
      </w:r>
      <w:r w:rsidR="006C4F90">
        <w:rPr>
          <w:rFonts w:ascii="Arial" w:hAnsi="Arial" w:cs="Arial"/>
          <w:lang w:val="en-US"/>
        </w:rPr>
        <w:t xml:space="preserve"> 2005 and 2023</w:t>
      </w:r>
      <w:r w:rsidR="001845E9">
        <w:rPr>
          <w:rFonts w:ascii="Arial" w:hAnsi="Arial" w:cs="Arial"/>
          <w:lang w:val="en-US"/>
        </w:rPr>
        <w:t>. Between 2020</w:t>
      </w:r>
      <w:r w:rsidR="00DE34A1">
        <w:rPr>
          <w:rFonts w:ascii="Arial" w:hAnsi="Arial" w:cs="Arial"/>
          <w:lang w:val="en-US"/>
        </w:rPr>
        <w:t xml:space="preserve"> and </w:t>
      </w:r>
      <w:r w:rsidR="00303E18">
        <w:rPr>
          <w:rFonts w:ascii="Arial" w:hAnsi="Arial" w:cs="Arial"/>
          <w:lang w:val="en-US"/>
        </w:rPr>
        <w:t>2023,</w:t>
      </w:r>
      <w:r w:rsidR="00D65EF0">
        <w:rPr>
          <w:rFonts w:ascii="Arial" w:hAnsi="Arial" w:cs="Arial"/>
          <w:lang w:val="en-US"/>
        </w:rPr>
        <w:t xml:space="preserve"> the </w:t>
      </w:r>
      <w:r w:rsidR="00DF062C">
        <w:rPr>
          <w:rFonts w:ascii="Arial" w:hAnsi="Arial" w:cs="Arial"/>
          <w:lang w:val="en-US"/>
        </w:rPr>
        <w:t xml:space="preserve">graph shows a negative trend. </w:t>
      </w:r>
      <w:r w:rsidR="00E11576">
        <w:rPr>
          <w:rFonts w:ascii="Arial" w:hAnsi="Arial" w:cs="Arial"/>
          <w:lang w:val="en-US"/>
        </w:rPr>
        <w:t>During March and April of 2023</w:t>
      </w:r>
      <w:r w:rsidR="003E3018">
        <w:rPr>
          <w:rFonts w:ascii="Arial" w:hAnsi="Arial" w:cs="Arial"/>
          <w:lang w:val="en-US"/>
        </w:rPr>
        <w:t xml:space="preserve">, the unemployment </w:t>
      </w:r>
      <w:r w:rsidR="00E4201B">
        <w:rPr>
          <w:rFonts w:ascii="Arial" w:hAnsi="Arial" w:cs="Arial"/>
          <w:lang w:val="en-US"/>
        </w:rPr>
        <w:t xml:space="preserve">rate </w:t>
      </w:r>
      <w:r w:rsidR="006C4D33">
        <w:rPr>
          <w:rFonts w:ascii="Arial" w:hAnsi="Arial" w:cs="Arial"/>
          <w:lang w:val="en-US"/>
        </w:rPr>
        <w:t xml:space="preserve">in March was </w:t>
      </w:r>
      <w:r w:rsidR="00EC3C9C">
        <w:rPr>
          <w:rFonts w:ascii="Arial" w:hAnsi="Arial" w:cs="Arial"/>
          <w:lang w:val="en-US"/>
        </w:rPr>
        <w:t xml:space="preserve">2.78 and in April </w:t>
      </w:r>
      <w:r w:rsidR="00B31904">
        <w:rPr>
          <w:rFonts w:ascii="Arial" w:hAnsi="Arial" w:cs="Arial"/>
          <w:lang w:val="en-US"/>
        </w:rPr>
        <w:t>was</w:t>
      </w:r>
      <w:r w:rsidR="00E4201B">
        <w:rPr>
          <w:rFonts w:ascii="Arial" w:hAnsi="Arial" w:cs="Arial"/>
          <w:lang w:val="en-US"/>
        </w:rPr>
        <w:t xml:space="preserve"> 2.83%, therefore a pos</w:t>
      </w:r>
      <w:r w:rsidR="001E5B27">
        <w:rPr>
          <w:rFonts w:ascii="Arial" w:hAnsi="Arial" w:cs="Arial"/>
          <w:lang w:val="en-US"/>
        </w:rPr>
        <w:t>itive trend is shown.</w:t>
      </w:r>
    </w:p>
    <w:p w14:paraId="3E4F2580" w14:textId="2CE80DDE" w:rsidR="00E52FDD" w:rsidRDefault="00E52FDD" w:rsidP="00E52FDD">
      <w:pPr>
        <w:rPr>
          <w:rFonts w:ascii="Arial" w:hAnsi="Arial" w:cs="Arial"/>
          <w:b/>
          <w:bCs/>
          <w:u w:val="single"/>
          <w:lang w:val="en-US"/>
        </w:rPr>
      </w:pPr>
      <w:r>
        <w:rPr>
          <w:rFonts w:ascii="Arial" w:hAnsi="Arial" w:cs="Arial"/>
          <w:b/>
          <w:bCs/>
          <w:u w:val="single"/>
          <w:lang w:val="en-US"/>
        </w:rPr>
        <w:t xml:space="preserve">Evidence-based </w:t>
      </w:r>
      <w:r w:rsidRPr="007F010A">
        <w:rPr>
          <w:rFonts w:ascii="Arial" w:hAnsi="Arial" w:cs="Arial"/>
          <w:b/>
          <w:bCs/>
          <w:u w:val="single"/>
          <w:lang w:val="en-US"/>
        </w:rPr>
        <w:t>Conclusion</w:t>
      </w:r>
    </w:p>
    <w:p w14:paraId="45029181" w14:textId="77777777" w:rsidR="00933DE7" w:rsidRPr="00933DE7" w:rsidRDefault="00933DE7" w:rsidP="00933DE7">
      <w:pPr>
        <w:rPr>
          <w:rFonts w:ascii="Arial" w:hAnsi="Arial" w:cs="Arial"/>
          <w:lang w:val="en-US"/>
        </w:rPr>
      </w:pPr>
      <w:r w:rsidRPr="00933DE7">
        <w:rPr>
          <w:rFonts w:ascii="Arial" w:hAnsi="Arial" w:cs="Arial"/>
          <w:lang w:val="en-US"/>
        </w:rPr>
        <w:t>Strengthening vocational training and job placement programs:</w:t>
      </w:r>
    </w:p>
    <w:p w14:paraId="0E94E765" w14:textId="77777777" w:rsidR="00933DE7" w:rsidRPr="00933DE7" w:rsidRDefault="00933DE7" w:rsidP="00933DE7">
      <w:pPr>
        <w:pStyle w:val="ListParagraph"/>
        <w:numPr>
          <w:ilvl w:val="0"/>
          <w:numId w:val="9"/>
        </w:numPr>
        <w:rPr>
          <w:rFonts w:ascii="Arial" w:hAnsi="Arial" w:cs="Arial"/>
          <w:lang w:val="en-US"/>
        </w:rPr>
      </w:pPr>
      <w:r w:rsidRPr="00933DE7">
        <w:rPr>
          <w:rFonts w:ascii="Arial" w:hAnsi="Arial" w:cs="Arial"/>
          <w:lang w:val="en-US"/>
        </w:rPr>
        <w:t>Provide comprehensive vocational training programs that align with the needs of the job market, equipping individuals with in-demand skills.</w:t>
      </w:r>
    </w:p>
    <w:p w14:paraId="017DC5E4" w14:textId="77777777" w:rsidR="00933DE7" w:rsidRPr="00933DE7" w:rsidRDefault="00933DE7" w:rsidP="00933DE7">
      <w:pPr>
        <w:pStyle w:val="ListParagraph"/>
        <w:numPr>
          <w:ilvl w:val="0"/>
          <w:numId w:val="9"/>
        </w:numPr>
        <w:rPr>
          <w:rFonts w:ascii="Arial" w:hAnsi="Arial" w:cs="Arial"/>
          <w:lang w:val="en-US"/>
        </w:rPr>
      </w:pPr>
      <w:r w:rsidRPr="00933DE7">
        <w:rPr>
          <w:rFonts w:ascii="Arial" w:hAnsi="Arial" w:cs="Arial"/>
          <w:lang w:val="en-US"/>
        </w:rPr>
        <w:t>Collaborate with employers and industries to create job placement opportunities and facilitate the transition from training to employment.</w:t>
      </w:r>
    </w:p>
    <w:p w14:paraId="511D7825" w14:textId="74CFB5E9" w:rsidR="00933DE7" w:rsidRPr="00933DE7" w:rsidRDefault="00933DE7" w:rsidP="00933DE7">
      <w:pPr>
        <w:pStyle w:val="ListParagraph"/>
        <w:numPr>
          <w:ilvl w:val="0"/>
          <w:numId w:val="9"/>
        </w:numPr>
        <w:rPr>
          <w:rFonts w:ascii="Arial" w:hAnsi="Arial" w:cs="Arial"/>
          <w:lang w:val="en-US"/>
        </w:rPr>
      </w:pPr>
      <w:r w:rsidRPr="00933DE7">
        <w:rPr>
          <w:rFonts w:ascii="Arial" w:hAnsi="Arial" w:cs="Arial"/>
          <w:lang w:val="en-US"/>
        </w:rPr>
        <w:t>Offer support services, such as career counselling and mentorship, to enhance job readiness and retention.</w:t>
      </w:r>
    </w:p>
    <w:p w14:paraId="729705BF" w14:textId="77777777" w:rsidR="00933DE7" w:rsidRPr="00933DE7" w:rsidRDefault="00933DE7" w:rsidP="00933DE7">
      <w:pPr>
        <w:rPr>
          <w:rFonts w:ascii="Arial" w:hAnsi="Arial" w:cs="Arial"/>
          <w:lang w:val="en-US"/>
        </w:rPr>
      </w:pPr>
      <w:r w:rsidRPr="00933DE7">
        <w:rPr>
          <w:rFonts w:ascii="Arial" w:hAnsi="Arial" w:cs="Arial"/>
          <w:lang w:val="en-US"/>
        </w:rPr>
        <w:t>Implementing integrated addiction prevention and treatment services:</w:t>
      </w:r>
    </w:p>
    <w:p w14:paraId="26C461AE" w14:textId="77777777" w:rsidR="00933DE7" w:rsidRPr="00933DE7" w:rsidRDefault="00933DE7" w:rsidP="00933DE7">
      <w:pPr>
        <w:pStyle w:val="ListParagraph"/>
        <w:numPr>
          <w:ilvl w:val="0"/>
          <w:numId w:val="10"/>
        </w:numPr>
        <w:rPr>
          <w:rFonts w:ascii="Arial" w:hAnsi="Arial" w:cs="Arial"/>
          <w:lang w:val="en-US"/>
        </w:rPr>
      </w:pPr>
      <w:r w:rsidRPr="00933DE7">
        <w:rPr>
          <w:rFonts w:ascii="Arial" w:hAnsi="Arial" w:cs="Arial"/>
          <w:lang w:val="en-US"/>
        </w:rPr>
        <w:t>Establish a comprehensive and integrated system of addiction prevention, treatment, and rehabilitation services.</w:t>
      </w:r>
    </w:p>
    <w:p w14:paraId="56E41C43" w14:textId="77777777" w:rsidR="00933DE7" w:rsidRPr="00933DE7" w:rsidRDefault="00933DE7" w:rsidP="00933DE7">
      <w:pPr>
        <w:pStyle w:val="ListParagraph"/>
        <w:numPr>
          <w:ilvl w:val="0"/>
          <w:numId w:val="10"/>
        </w:numPr>
        <w:rPr>
          <w:rFonts w:ascii="Arial" w:hAnsi="Arial" w:cs="Arial"/>
          <w:lang w:val="en-US"/>
        </w:rPr>
      </w:pPr>
      <w:r w:rsidRPr="00933DE7">
        <w:rPr>
          <w:rFonts w:ascii="Arial" w:hAnsi="Arial" w:cs="Arial"/>
          <w:lang w:val="en-US"/>
        </w:rPr>
        <w:t>Ensure the availability of evidence-based prevention programs targeting at-risk populations, such as youth and marginalized communities.</w:t>
      </w:r>
    </w:p>
    <w:p w14:paraId="081D1E32" w14:textId="63419EF6" w:rsidR="00933DE7" w:rsidRPr="00933DE7" w:rsidRDefault="00933DE7" w:rsidP="00933DE7">
      <w:pPr>
        <w:pStyle w:val="ListParagraph"/>
        <w:numPr>
          <w:ilvl w:val="0"/>
          <w:numId w:val="10"/>
        </w:numPr>
        <w:rPr>
          <w:rFonts w:ascii="Arial" w:hAnsi="Arial" w:cs="Arial"/>
          <w:lang w:val="en-US"/>
        </w:rPr>
      </w:pPr>
      <w:r w:rsidRPr="00933DE7">
        <w:rPr>
          <w:rFonts w:ascii="Arial" w:hAnsi="Arial" w:cs="Arial"/>
          <w:lang w:val="en-US"/>
        </w:rPr>
        <w:t>Enhance access to quality addiction treatment services, including counselling, medication-assisted therapy, and aftercare support.</w:t>
      </w:r>
    </w:p>
    <w:p w14:paraId="601C0E32" w14:textId="77777777" w:rsidR="00933DE7" w:rsidRPr="00933DE7" w:rsidRDefault="00933DE7" w:rsidP="00933DE7">
      <w:pPr>
        <w:rPr>
          <w:rFonts w:ascii="Arial" w:hAnsi="Arial" w:cs="Arial"/>
          <w:lang w:val="en-US"/>
        </w:rPr>
      </w:pPr>
      <w:r w:rsidRPr="00933DE7">
        <w:rPr>
          <w:rFonts w:ascii="Arial" w:hAnsi="Arial" w:cs="Arial"/>
          <w:lang w:val="en-US"/>
        </w:rPr>
        <w:t>Promoting social and economic empowerment:</w:t>
      </w:r>
    </w:p>
    <w:p w14:paraId="2F59908C" w14:textId="77777777" w:rsidR="00933DE7" w:rsidRPr="00933DE7" w:rsidRDefault="00933DE7" w:rsidP="00933DE7">
      <w:pPr>
        <w:pStyle w:val="ListParagraph"/>
        <w:numPr>
          <w:ilvl w:val="0"/>
          <w:numId w:val="11"/>
        </w:numPr>
        <w:rPr>
          <w:rFonts w:ascii="Arial" w:hAnsi="Arial" w:cs="Arial"/>
          <w:lang w:val="en-US"/>
        </w:rPr>
      </w:pPr>
      <w:r w:rsidRPr="00933DE7">
        <w:rPr>
          <w:rFonts w:ascii="Arial" w:hAnsi="Arial" w:cs="Arial"/>
          <w:lang w:val="en-US"/>
        </w:rPr>
        <w:t>Implement social protection programs that address the underlying causes of unemployment and poverty, providing financial stability and support to vulnerable individuals and families.</w:t>
      </w:r>
    </w:p>
    <w:p w14:paraId="1A0B126B" w14:textId="77777777" w:rsidR="00933DE7" w:rsidRPr="00933DE7" w:rsidRDefault="00933DE7" w:rsidP="00933DE7">
      <w:pPr>
        <w:pStyle w:val="ListParagraph"/>
        <w:numPr>
          <w:ilvl w:val="0"/>
          <w:numId w:val="11"/>
        </w:numPr>
        <w:rPr>
          <w:rFonts w:ascii="Arial" w:hAnsi="Arial" w:cs="Arial"/>
          <w:lang w:val="en-US"/>
        </w:rPr>
      </w:pPr>
      <w:r w:rsidRPr="00933DE7">
        <w:rPr>
          <w:rFonts w:ascii="Arial" w:hAnsi="Arial" w:cs="Arial"/>
          <w:lang w:val="en-US"/>
        </w:rPr>
        <w:t>Foster entrepreneurship and small business development through training, access to capital, and mentorship programs.</w:t>
      </w:r>
    </w:p>
    <w:p w14:paraId="25C026B6" w14:textId="35CE5841" w:rsidR="00E52FDD" w:rsidRPr="00933DE7" w:rsidRDefault="00933DE7" w:rsidP="00933DE7">
      <w:pPr>
        <w:pStyle w:val="ListParagraph"/>
        <w:numPr>
          <w:ilvl w:val="0"/>
          <w:numId w:val="11"/>
        </w:numPr>
        <w:rPr>
          <w:rFonts w:ascii="Arial" w:hAnsi="Arial" w:cs="Arial"/>
          <w:lang w:val="en-US"/>
        </w:rPr>
      </w:pPr>
      <w:r w:rsidRPr="00933DE7">
        <w:rPr>
          <w:rFonts w:ascii="Arial" w:hAnsi="Arial" w:cs="Arial"/>
          <w:lang w:val="en-US"/>
        </w:rPr>
        <w:t>Promote initiatives that create inclusive employment opportunities, such as social enterprises and cooperatives, focusing on marginalized populations and areas with high unemployment rates.</w:t>
      </w:r>
    </w:p>
    <w:p w14:paraId="1E264C70" w14:textId="7D5E7DE8" w:rsidR="00E52FDD" w:rsidRDefault="00E52FDD" w:rsidP="00DA342B">
      <w:pPr>
        <w:rPr>
          <w:rFonts w:ascii="Arial" w:hAnsi="Arial" w:cs="Arial"/>
          <w:b/>
          <w:bCs/>
          <w:u w:val="single"/>
          <w:lang w:val="en-US"/>
        </w:rPr>
      </w:pPr>
    </w:p>
    <w:p w14:paraId="5C4C0445" w14:textId="5AE4FF62" w:rsidR="00DA342B" w:rsidRDefault="003F04C6" w:rsidP="00DA342B">
      <w:pPr>
        <w:rPr>
          <w:rFonts w:ascii="Arial" w:hAnsi="Arial" w:cs="Arial"/>
          <w:b/>
          <w:bCs/>
          <w:u w:val="single"/>
          <w:lang w:val="en-US"/>
        </w:rPr>
      </w:pPr>
      <w:r>
        <w:rPr>
          <w:rFonts w:ascii="Arial" w:hAnsi="Arial" w:cs="Arial"/>
          <w:b/>
          <w:bCs/>
          <w:u w:val="single"/>
          <w:lang w:val="en-US"/>
        </w:rPr>
        <w:t>Strategies from the Ottawa Charter Action Areas</w:t>
      </w:r>
    </w:p>
    <w:p w14:paraId="7B5294BB" w14:textId="77777777" w:rsidR="000037F3" w:rsidRPr="000037F3" w:rsidRDefault="000037F3" w:rsidP="000037F3">
      <w:pPr>
        <w:rPr>
          <w:rFonts w:ascii="Arial" w:hAnsi="Arial" w:cs="Arial"/>
          <w:lang w:val="en-US"/>
        </w:rPr>
      </w:pPr>
      <w:r w:rsidRPr="000037F3">
        <w:rPr>
          <w:rFonts w:ascii="Arial" w:hAnsi="Arial" w:cs="Arial"/>
          <w:lang w:val="en-US"/>
        </w:rPr>
        <w:t>Developing personal skills:</w:t>
      </w:r>
    </w:p>
    <w:p w14:paraId="2A20B861" w14:textId="77777777" w:rsidR="000037F3" w:rsidRPr="000037F3" w:rsidRDefault="000037F3" w:rsidP="000037F3">
      <w:pPr>
        <w:pStyle w:val="ListParagraph"/>
        <w:numPr>
          <w:ilvl w:val="0"/>
          <w:numId w:val="6"/>
        </w:numPr>
        <w:rPr>
          <w:rFonts w:ascii="Arial" w:hAnsi="Arial" w:cs="Arial"/>
          <w:lang w:val="en-US"/>
        </w:rPr>
      </w:pPr>
      <w:r w:rsidRPr="000037F3">
        <w:rPr>
          <w:rFonts w:ascii="Arial" w:hAnsi="Arial" w:cs="Arial"/>
          <w:lang w:val="en-US"/>
        </w:rPr>
        <w:t>Promote education and vocational training to equip individuals with skills for employment and poverty alleviation.</w:t>
      </w:r>
    </w:p>
    <w:p w14:paraId="444E3130" w14:textId="77777777" w:rsidR="000037F3" w:rsidRPr="000037F3" w:rsidRDefault="000037F3" w:rsidP="000037F3">
      <w:pPr>
        <w:pStyle w:val="ListParagraph"/>
        <w:numPr>
          <w:ilvl w:val="0"/>
          <w:numId w:val="6"/>
        </w:numPr>
        <w:rPr>
          <w:rFonts w:ascii="Arial" w:hAnsi="Arial" w:cs="Arial"/>
          <w:lang w:val="en-US"/>
        </w:rPr>
      </w:pPr>
      <w:r w:rsidRPr="000037F3">
        <w:rPr>
          <w:rFonts w:ascii="Arial" w:hAnsi="Arial" w:cs="Arial"/>
          <w:lang w:val="en-US"/>
        </w:rPr>
        <w:t>Implement interventions and awareness campaigns to enhance health literacy and responsible decision-making regarding substance use and addiction prevention.</w:t>
      </w:r>
    </w:p>
    <w:p w14:paraId="06C1D103" w14:textId="77777777" w:rsidR="000037F3" w:rsidRPr="000037F3" w:rsidRDefault="000037F3" w:rsidP="000037F3">
      <w:pPr>
        <w:pStyle w:val="ListParagraph"/>
        <w:numPr>
          <w:ilvl w:val="0"/>
          <w:numId w:val="6"/>
        </w:numPr>
        <w:rPr>
          <w:rFonts w:ascii="Arial" w:hAnsi="Arial" w:cs="Arial"/>
          <w:lang w:val="en-US"/>
        </w:rPr>
      </w:pPr>
      <w:r w:rsidRPr="000037F3">
        <w:rPr>
          <w:rFonts w:ascii="Arial" w:hAnsi="Arial" w:cs="Arial"/>
          <w:lang w:val="en-US"/>
        </w:rPr>
        <w:t>Provide counselling and support services to improve mental health and resilience among those affected by poverty, unemployment, and addiction.</w:t>
      </w:r>
    </w:p>
    <w:p w14:paraId="547C1A02" w14:textId="77777777" w:rsidR="000037F3" w:rsidRPr="000037F3" w:rsidRDefault="000037F3" w:rsidP="000037F3">
      <w:pPr>
        <w:rPr>
          <w:rFonts w:ascii="Arial" w:hAnsi="Arial" w:cs="Arial"/>
          <w:lang w:val="en-US"/>
        </w:rPr>
      </w:pPr>
      <w:r w:rsidRPr="000037F3">
        <w:rPr>
          <w:rFonts w:ascii="Arial" w:hAnsi="Arial" w:cs="Arial"/>
          <w:lang w:val="en-US"/>
        </w:rPr>
        <w:t>Creating supportive environments:</w:t>
      </w:r>
    </w:p>
    <w:p w14:paraId="37FEA83A" w14:textId="3F7C0CD8" w:rsidR="000037F3" w:rsidRPr="000037F3" w:rsidRDefault="000037F3" w:rsidP="000037F3">
      <w:pPr>
        <w:pStyle w:val="ListParagraph"/>
        <w:numPr>
          <w:ilvl w:val="0"/>
          <w:numId w:val="7"/>
        </w:numPr>
        <w:rPr>
          <w:rFonts w:ascii="Arial" w:hAnsi="Arial" w:cs="Arial"/>
          <w:lang w:val="en-US"/>
        </w:rPr>
      </w:pPr>
      <w:r w:rsidRPr="000037F3">
        <w:rPr>
          <w:rFonts w:ascii="Arial" w:hAnsi="Arial" w:cs="Arial"/>
          <w:lang w:val="en-US"/>
        </w:rPr>
        <w:t xml:space="preserve">Enhance community development programs that provide affordable housing, safe </w:t>
      </w:r>
      <w:r w:rsidR="00097E94" w:rsidRPr="000037F3">
        <w:rPr>
          <w:rFonts w:ascii="Arial" w:hAnsi="Arial" w:cs="Arial"/>
          <w:lang w:val="en-US"/>
        </w:rPr>
        <w:t>neighborhoods</w:t>
      </w:r>
      <w:r w:rsidRPr="000037F3">
        <w:rPr>
          <w:rFonts w:ascii="Arial" w:hAnsi="Arial" w:cs="Arial"/>
          <w:lang w:val="en-US"/>
        </w:rPr>
        <w:t>, and recreational facilities.</w:t>
      </w:r>
    </w:p>
    <w:p w14:paraId="3F888952" w14:textId="77777777" w:rsidR="000037F3" w:rsidRPr="000037F3" w:rsidRDefault="000037F3" w:rsidP="000037F3">
      <w:pPr>
        <w:pStyle w:val="ListParagraph"/>
        <w:numPr>
          <w:ilvl w:val="0"/>
          <w:numId w:val="7"/>
        </w:numPr>
        <w:rPr>
          <w:rFonts w:ascii="Arial" w:hAnsi="Arial" w:cs="Arial"/>
          <w:lang w:val="en-US"/>
        </w:rPr>
      </w:pPr>
      <w:r w:rsidRPr="000037F3">
        <w:rPr>
          <w:rFonts w:ascii="Arial" w:hAnsi="Arial" w:cs="Arial"/>
          <w:lang w:val="en-US"/>
        </w:rPr>
        <w:t>Promote community-based initiatives for employment training, skill development, and entrepreneurship opportunities.</w:t>
      </w:r>
    </w:p>
    <w:p w14:paraId="7408D6DE" w14:textId="77777777" w:rsidR="000037F3" w:rsidRPr="000037F3" w:rsidRDefault="000037F3" w:rsidP="000037F3">
      <w:pPr>
        <w:pStyle w:val="ListParagraph"/>
        <w:numPr>
          <w:ilvl w:val="0"/>
          <w:numId w:val="7"/>
        </w:numPr>
        <w:rPr>
          <w:rFonts w:ascii="Arial" w:hAnsi="Arial" w:cs="Arial"/>
          <w:lang w:val="en-US"/>
        </w:rPr>
      </w:pPr>
      <w:r w:rsidRPr="000037F3">
        <w:rPr>
          <w:rFonts w:ascii="Arial" w:hAnsi="Arial" w:cs="Arial"/>
          <w:lang w:val="en-US"/>
        </w:rPr>
        <w:t>Establish safe and inclusive spaces that foster social connections and support networks to reduce social isolation and the risk of addiction.</w:t>
      </w:r>
    </w:p>
    <w:p w14:paraId="1227F8D0" w14:textId="77777777" w:rsidR="000037F3" w:rsidRPr="000037F3" w:rsidRDefault="000037F3" w:rsidP="000037F3">
      <w:pPr>
        <w:rPr>
          <w:rFonts w:ascii="Arial" w:hAnsi="Arial" w:cs="Arial"/>
          <w:lang w:val="en-US"/>
        </w:rPr>
      </w:pPr>
      <w:r w:rsidRPr="000037F3">
        <w:rPr>
          <w:rFonts w:ascii="Arial" w:hAnsi="Arial" w:cs="Arial"/>
          <w:lang w:val="en-US"/>
        </w:rPr>
        <w:t>Building healthy public policies:</w:t>
      </w:r>
    </w:p>
    <w:p w14:paraId="22810846" w14:textId="77777777" w:rsidR="000037F3" w:rsidRPr="000037F3" w:rsidRDefault="000037F3" w:rsidP="000037F3">
      <w:pPr>
        <w:pStyle w:val="ListParagraph"/>
        <w:numPr>
          <w:ilvl w:val="0"/>
          <w:numId w:val="8"/>
        </w:numPr>
        <w:rPr>
          <w:rFonts w:ascii="Arial" w:hAnsi="Arial" w:cs="Arial"/>
          <w:lang w:val="en-US"/>
        </w:rPr>
      </w:pPr>
      <w:r w:rsidRPr="000037F3">
        <w:rPr>
          <w:rFonts w:ascii="Arial" w:hAnsi="Arial" w:cs="Arial"/>
          <w:lang w:val="en-US"/>
        </w:rPr>
        <w:t>Advocate for policies that reduce poverty and improve social determinants of health such as education, housing, and employment opportunities.</w:t>
      </w:r>
    </w:p>
    <w:p w14:paraId="4B272E8F" w14:textId="77777777" w:rsidR="000037F3" w:rsidRPr="000037F3" w:rsidRDefault="000037F3" w:rsidP="000037F3">
      <w:pPr>
        <w:pStyle w:val="ListParagraph"/>
        <w:numPr>
          <w:ilvl w:val="0"/>
          <w:numId w:val="8"/>
        </w:numPr>
        <w:rPr>
          <w:rFonts w:ascii="Arial" w:hAnsi="Arial" w:cs="Arial"/>
          <w:lang w:val="en-US"/>
        </w:rPr>
      </w:pPr>
      <w:r w:rsidRPr="000037F3">
        <w:rPr>
          <w:rFonts w:ascii="Arial" w:hAnsi="Arial" w:cs="Arial"/>
          <w:lang w:val="en-US"/>
        </w:rPr>
        <w:t>Encourage the implementation of comprehensive social protection programs to alleviate poverty and provide financial stability to vulnerable populations.</w:t>
      </w:r>
    </w:p>
    <w:p w14:paraId="021759C9" w14:textId="7B4811C1" w:rsidR="000E24F4" w:rsidRPr="00981E59" w:rsidRDefault="000037F3" w:rsidP="000F7B9E">
      <w:pPr>
        <w:pStyle w:val="ListParagraph"/>
        <w:numPr>
          <w:ilvl w:val="0"/>
          <w:numId w:val="8"/>
        </w:numPr>
        <w:rPr>
          <w:rFonts w:ascii="Arial" w:hAnsi="Arial" w:cs="Arial"/>
          <w:lang w:val="en-US"/>
        </w:rPr>
      </w:pPr>
      <w:r w:rsidRPr="000037F3">
        <w:rPr>
          <w:rFonts w:ascii="Arial" w:hAnsi="Arial" w:cs="Arial"/>
          <w:lang w:val="en-US"/>
        </w:rPr>
        <w:t>Regulate and control the availability and marketing of addictive substances, including alcohol and tobacco.</w:t>
      </w:r>
    </w:p>
    <w:sectPr w:rsidR="000E24F4" w:rsidRPr="00981E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0E20"/>
    <w:multiLevelType w:val="hybridMultilevel"/>
    <w:tmpl w:val="43D23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E24485"/>
    <w:multiLevelType w:val="hybridMultilevel"/>
    <w:tmpl w:val="A9A0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53276"/>
    <w:multiLevelType w:val="hybridMultilevel"/>
    <w:tmpl w:val="38F8F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458CE"/>
    <w:multiLevelType w:val="hybridMultilevel"/>
    <w:tmpl w:val="2206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C1FF3"/>
    <w:multiLevelType w:val="hybridMultilevel"/>
    <w:tmpl w:val="B1467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F39C0"/>
    <w:multiLevelType w:val="hybridMultilevel"/>
    <w:tmpl w:val="8740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F0D92"/>
    <w:multiLevelType w:val="hybridMultilevel"/>
    <w:tmpl w:val="72CA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F24C0D"/>
    <w:multiLevelType w:val="hybridMultilevel"/>
    <w:tmpl w:val="A816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E32810"/>
    <w:multiLevelType w:val="hybridMultilevel"/>
    <w:tmpl w:val="51EC4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BC0E3A"/>
    <w:multiLevelType w:val="hybridMultilevel"/>
    <w:tmpl w:val="CFFA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1968CF"/>
    <w:multiLevelType w:val="hybridMultilevel"/>
    <w:tmpl w:val="5A362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2E2018"/>
    <w:multiLevelType w:val="hybridMultilevel"/>
    <w:tmpl w:val="F6968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2574F3"/>
    <w:multiLevelType w:val="hybridMultilevel"/>
    <w:tmpl w:val="BFE2D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383D8D"/>
    <w:multiLevelType w:val="hybridMultilevel"/>
    <w:tmpl w:val="F8E03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16496">
    <w:abstractNumId w:val="1"/>
  </w:num>
  <w:num w:numId="2" w16cid:durableId="2090345292">
    <w:abstractNumId w:val="11"/>
  </w:num>
  <w:num w:numId="3" w16cid:durableId="1446581902">
    <w:abstractNumId w:val="7"/>
  </w:num>
  <w:num w:numId="4" w16cid:durableId="397556365">
    <w:abstractNumId w:val="13"/>
  </w:num>
  <w:num w:numId="5" w16cid:durableId="382019084">
    <w:abstractNumId w:val="10"/>
  </w:num>
  <w:num w:numId="6" w16cid:durableId="89590042">
    <w:abstractNumId w:val="8"/>
  </w:num>
  <w:num w:numId="7" w16cid:durableId="1702052087">
    <w:abstractNumId w:val="3"/>
  </w:num>
  <w:num w:numId="8" w16cid:durableId="158036462">
    <w:abstractNumId w:val="2"/>
  </w:num>
  <w:num w:numId="9" w16cid:durableId="1843467299">
    <w:abstractNumId w:val="6"/>
  </w:num>
  <w:num w:numId="10" w16cid:durableId="294606373">
    <w:abstractNumId w:val="4"/>
  </w:num>
  <w:num w:numId="11" w16cid:durableId="796334819">
    <w:abstractNumId w:val="5"/>
  </w:num>
  <w:num w:numId="12" w16cid:durableId="778254476">
    <w:abstractNumId w:val="0"/>
  </w:num>
  <w:num w:numId="13" w16cid:durableId="998121076">
    <w:abstractNumId w:val="12"/>
  </w:num>
  <w:num w:numId="14" w16cid:durableId="490021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2B"/>
    <w:rsid w:val="000037F3"/>
    <w:rsid w:val="00051656"/>
    <w:rsid w:val="00054CC4"/>
    <w:rsid w:val="00087A06"/>
    <w:rsid w:val="00097E94"/>
    <w:rsid w:val="000A74B7"/>
    <w:rsid w:val="000D0106"/>
    <w:rsid w:val="000E24F4"/>
    <w:rsid w:val="000F7B9E"/>
    <w:rsid w:val="00113DEA"/>
    <w:rsid w:val="001316BF"/>
    <w:rsid w:val="001457D5"/>
    <w:rsid w:val="00151736"/>
    <w:rsid w:val="00162AB3"/>
    <w:rsid w:val="001743C5"/>
    <w:rsid w:val="00176448"/>
    <w:rsid w:val="00182CEA"/>
    <w:rsid w:val="001845E9"/>
    <w:rsid w:val="001A02D6"/>
    <w:rsid w:val="001A3B53"/>
    <w:rsid w:val="001B7D76"/>
    <w:rsid w:val="001C3DFB"/>
    <w:rsid w:val="001D0642"/>
    <w:rsid w:val="001E5B27"/>
    <w:rsid w:val="001F486A"/>
    <w:rsid w:val="00200835"/>
    <w:rsid w:val="00203E4A"/>
    <w:rsid w:val="0022498E"/>
    <w:rsid w:val="002767C5"/>
    <w:rsid w:val="002A177E"/>
    <w:rsid w:val="002C00FD"/>
    <w:rsid w:val="002D0A25"/>
    <w:rsid w:val="002F0B66"/>
    <w:rsid w:val="002F4D8A"/>
    <w:rsid w:val="00303E18"/>
    <w:rsid w:val="003106AE"/>
    <w:rsid w:val="0031356A"/>
    <w:rsid w:val="00341884"/>
    <w:rsid w:val="00342A56"/>
    <w:rsid w:val="00354899"/>
    <w:rsid w:val="00354D57"/>
    <w:rsid w:val="00354E5B"/>
    <w:rsid w:val="003A642A"/>
    <w:rsid w:val="003B2F4F"/>
    <w:rsid w:val="003C582F"/>
    <w:rsid w:val="003D76E5"/>
    <w:rsid w:val="003D7B22"/>
    <w:rsid w:val="003E3018"/>
    <w:rsid w:val="003F04C6"/>
    <w:rsid w:val="003F13A2"/>
    <w:rsid w:val="00402D92"/>
    <w:rsid w:val="00420650"/>
    <w:rsid w:val="004270DF"/>
    <w:rsid w:val="0044426D"/>
    <w:rsid w:val="00447355"/>
    <w:rsid w:val="00465D86"/>
    <w:rsid w:val="0047190A"/>
    <w:rsid w:val="00472584"/>
    <w:rsid w:val="00474D10"/>
    <w:rsid w:val="0049776E"/>
    <w:rsid w:val="004B16CB"/>
    <w:rsid w:val="004B193E"/>
    <w:rsid w:val="004B2C96"/>
    <w:rsid w:val="004C475B"/>
    <w:rsid w:val="004C565C"/>
    <w:rsid w:val="004E1EAF"/>
    <w:rsid w:val="0052227C"/>
    <w:rsid w:val="00537FBE"/>
    <w:rsid w:val="00540391"/>
    <w:rsid w:val="00595BAF"/>
    <w:rsid w:val="00596D57"/>
    <w:rsid w:val="00597E87"/>
    <w:rsid w:val="005A012A"/>
    <w:rsid w:val="005C1513"/>
    <w:rsid w:val="00616190"/>
    <w:rsid w:val="00652CAA"/>
    <w:rsid w:val="00653F05"/>
    <w:rsid w:val="00696EAB"/>
    <w:rsid w:val="006B7069"/>
    <w:rsid w:val="006C4D33"/>
    <w:rsid w:val="006C4F90"/>
    <w:rsid w:val="00710F05"/>
    <w:rsid w:val="00721295"/>
    <w:rsid w:val="007455CE"/>
    <w:rsid w:val="00751F08"/>
    <w:rsid w:val="00773C80"/>
    <w:rsid w:val="007C1C4F"/>
    <w:rsid w:val="0080142F"/>
    <w:rsid w:val="00805F9C"/>
    <w:rsid w:val="00821239"/>
    <w:rsid w:val="00877020"/>
    <w:rsid w:val="00880BA3"/>
    <w:rsid w:val="008A7862"/>
    <w:rsid w:val="008C4B6D"/>
    <w:rsid w:val="008C7649"/>
    <w:rsid w:val="008D61DC"/>
    <w:rsid w:val="008E6A15"/>
    <w:rsid w:val="008F4321"/>
    <w:rsid w:val="00933DE7"/>
    <w:rsid w:val="00935402"/>
    <w:rsid w:val="00955583"/>
    <w:rsid w:val="009671B0"/>
    <w:rsid w:val="00967999"/>
    <w:rsid w:val="00981E59"/>
    <w:rsid w:val="009928A4"/>
    <w:rsid w:val="009A1FB5"/>
    <w:rsid w:val="009B3B4E"/>
    <w:rsid w:val="009E13EF"/>
    <w:rsid w:val="00A14568"/>
    <w:rsid w:val="00A278FB"/>
    <w:rsid w:val="00A40B68"/>
    <w:rsid w:val="00A43E20"/>
    <w:rsid w:val="00A55A7A"/>
    <w:rsid w:val="00AA640A"/>
    <w:rsid w:val="00AE14C3"/>
    <w:rsid w:val="00AE1E4C"/>
    <w:rsid w:val="00B035AD"/>
    <w:rsid w:val="00B055DC"/>
    <w:rsid w:val="00B103A9"/>
    <w:rsid w:val="00B31904"/>
    <w:rsid w:val="00B40C4A"/>
    <w:rsid w:val="00B67A7F"/>
    <w:rsid w:val="00B74E40"/>
    <w:rsid w:val="00B7569A"/>
    <w:rsid w:val="00BE14C6"/>
    <w:rsid w:val="00BF7DE1"/>
    <w:rsid w:val="00C25F6C"/>
    <w:rsid w:val="00C435B2"/>
    <w:rsid w:val="00C746F0"/>
    <w:rsid w:val="00C806A8"/>
    <w:rsid w:val="00C82652"/>
    <w:rsid w:val="00CA015C"/>
    <w:rsid w:val="00CA2A67"/>
    <w:rsid w:val="00CC5FA6"/>
    <w:rsid w:val="00CE7671"/>
    <w:rsid w:val="00D00074"/>
    <w:rsid w:val="00D25E20"/>
    <w:rsid w:val="00D342A6"/>
    <w:rsid w:val="00D546E7"/>
    <w:rsid w:val="00D62C31"/>
    <w:rsid w:val="00D65EF0"/>
    <w:rsid w:val="00D81C15"/>
    <w:rsid w:val="00DA342B"/>
    <w:rsid w:val="00DB67CC"/>
    <w:rsid w:val="00DC1B7B"/>
    <w:rsid w:val="00DC6969"/>
    <w:rsid w:val="00DE3337"/>
    <w:rsid w:val="00DE34A1"/>
    <w:rsid w:val="00DE7FC8"/>
    <w:rsid w:val="00DF062C"/>
    <w:rsid w:val="00DF0787"/>
    <w:rsid w:val="00DF322D"/>
    <w:rsid w:val="00DF3601"/>
    <w:rsid w:val="00E04CF7"/>
    <w:rsid w:val="00E11576"/>
    <w:rsid w:val="00E32999"/>
    <w:rsid w:val="00E33C01"/>
    <w:rsid w:val="00E4201B"/>
    <w:rsid w:val="00E52FDD"/>
    <w:rsid w:val="00E658E9"/>
    <w:rsid w:val="00E97995"/>
    <w:rsid w:val="00EC3C9C"/>
    <w:rsid w:val="00EE1D19"/>
    <w:rsid w:val="00F049C4"/>
    <w:rsid w:val="00F1307D"/>
    <w:rsid w:val="00F41A95"/>
    <w:rsid w:val="00F633A6"/>
    <w:rsid w:val="00FA1BC7"/>
    <w:rsid w:val="00FD5A53"/>
    <w:rsid w:val="00FE4AD7"/>
    <w:rsid w:val="00FF6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8FAD"/>
  <w15:chartTrackingRefBased/>
  <w15:docId w15:val="{DA70B892-210A-49FC-872E-05E72121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DD"/>
    <w:rPr>
      <w:kern w:val="0"/>
      <w14:ligatures w14:val="none"/>
    </w:rPr>
  </w:style>
  <w:style w:type="paragraph" w:styleId="Heading1">
    <w:name w:val="heading 1"/>
    <w:basedOn w:val="Normal"/>
    <w:next w:val="Normal"/>
    <w:link w:val="Heading1Char"/>
    <w:uiPriority w:val="9"/>
    <w:qFormat/>
    <w:rsid w:val="00DA342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42B"/>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uiPriority w:val="34"/>
    <w:qFormat/>
    <w:rsid w:val="00DA342B"/>
    <w:pPr>
      <w:ind w:left="720"/>
      <w:contextualSpacing/>
    </w:pPr>
  </w:style>
  <w:style w:type="table" w:styleId="TableGrid">
    <w:name w:val="Table Grid"/>
    <w:basedOn w:val="TableNormal"/>
    <w:uiPriority w:val="39"/>
    <w:rsid w:val="00DA34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A342B"/>
  </w:style>
  <w:style w:type="character" w:styleId="Hyperlink">
    <w:name w:val="Hyperlink"/>
    <w:basedOn w:val="DefaultParagraphFont"/>
    <w:uiPriority w:val="99"/>
    <w:unhideWhenUsed/>
    <w:rsid w:val="00DA342B"/>
    <w:rPr>
      <w:color w:val="0563C1" w:themeColor="hyperlink"/>
      <w:u w:val="single"/>
    </w:rPr>
  </w:style>
  <w:style w:type="character" w:styleId="UnresolvedMention">
    <w:name w:val="Unresolved Mention"/>
    <w:basedOn w:val="DefaultParagraphFont"/>
    <w:uiPriority w:val="99"/>
    <w:semiHidden/>
    <w:unhideWhenUsed/>
    <w:rsid w:val="00DB67CC"/>
    <w:rPr>
      <w:color w:val="605E5C"/>
      <w:shd w:val="clear" w:color="auto" w:fill="E1DFDD"/>
    </w:rPr>
  </w:style>
  <w:style w:type="character" w:customStyle="1" w:styleId="wdyuqq">
    <w:name w:val="wdyuqq"/>
    <w:basedOn w:val="DefaultParagraphFont"/>
    <w:rsid w:val="0017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7284">
      <w:bodyDiv w:val="1"/>
      <w:marLeft w:val="0"/>
      <w:marRight w:val="0"/>
      <w:marTop w:val="0"/>
      <w:marBottom w:val="0"/>
      <w:divBdr>
        <w:top w:val="none" w:sz="0" w:space="0" w:color="auto"/>
        <w:left w:val="none" w:sz="0" w:space="0" w:color="auto"/>
        <w:bottom w:val="none" w:sz="0" w:space="0" w:color="auto"/>
        <w:right w:val="none" w:sz="0" w:space="0" w:color="auto"/>
      </w:divBdr>
    </w:div>
    <w:div w:id="165479191">
      <w:bodyDiv w:val="1"/>
      <w:marLeft w:val="0"/>
      <w:marRight w:val="0"/>
      <w:marTop w:val="0"/>
      <w:marBottom w:val="0"/>
      <w:divBdr>
        <w:top w:val="none" w:sz="0" w:space="0" w:color="auto"/>
        <w:left w:val="none" w:sz="0" w:space="0" w:color="auto"/>
        <w:bottom w:val="none" w:sz="0" w:space="0" w:color="auto"/>
        <w:right w:val="none" w:sz="0" w:space="0" w:color="auto"/>
      </w:divBdr>
    </w:div>
    <w:div w:id="184558188">
      <w:bodyDiv w:val="1"/>
      <w:marLeft w:val="0"/>
      <w:marRight w:val="0"/>
      <w:marTop w:val="0"/>
      <w:marBottom w:val="0"/>
      <w:divBdr>
        <w:top w:val="none" w:sz="0" w:space="0" w:color="auto"/>
        <w:left w:val="none" w:sz="0" w:space="0" w:color="auto"/>
        <w:bottom w:val="none" w:sz="0" w:space="0" w:color="auto"/>
        <w:right w:val="none" w:sz="0" w:space="0" w:color="auto"/>
      </w:divBdr>
    </w:div>
    <w:div w:id="214318251">
      <w:bodyDiv w:val="1"/>
      <w:marLeft w:val="0"/>
      <w:marRight w:val="0"/>
      <w:marTop w:val="0"/>
      <w:marBottom w:val="0"/>
      <w:divBdr>
        <w:top w:val="none" w:sz="0" w:space="0" w:color="auto"/>
        <w:left w:val="none" w:sz="0" w:space="0" w:color="auto"/>
        <w:bottom w:val="none" w:sz="0" w:space="0" w:color="auto"/>
        <w:right w:val="none" w:sz="0" w:space="0" w:color="auto"/>
      </w:divBdr>
    </w:div>
    <w:div w:id="227376930">
      <w:bodyDiv w:val="1"/>
      <w:marLeft w:val="0"/>
      <w:marRight w:val="0"/>
      <w:marTop w:val="0"/>
      <w:marBottom w:val="0"/>
      <w:divBdr>
        <w:top w:val="none" w:sz="0" w:space="0" w:color="auto"/>
        <w:left w:val="none" w:sz="0" w:space="0" w:color="auto"/>
        <w:bottom w:val="none" w:sz="0" w:space="0" w:color="auto"/>
        <w:right w:val="none" w:sz="0" w:space="0" w:color="auto"/>
      </w:divBdr>
    </w:div>
    <w:div w:id="271938558">
      <w:bodyDiv w:val="1"/>
      <w:marLeft w:val="0"/>
      <w:marRight w:val="0"/>
      <w:marTop w:val="0"/>
      <w:marBottom w:val="0"/>
      <w:divBdr>
        <w:top w:val="none" w:sz="0" w:space="0" w:color="auto"/>
        <w:left w:val="none" w:sz="0" w:space="0" w:color="auto"/>
        <w:bottom w:val="none" w:sz="0" w:space="0" w:color="auto"/>
        <w:right w:val="none" w:sz="0" w:space="0" w:color="auto"/>
      </w:divBdr>
    </w:div>
    <w:div w:id="356275694">
      <w:bodyDiv w:val="1"/>
      <w:marLeft w:val="0"/>
      <w:marRight w:val="0"/>
      <w:marTop w:val="0"/>
      <w:marBottom w:val="0"/>
      <w:divBdr>
        <w:top w:val="none" w:sz="0" w:space="0" w:color="auto"/>
        <w:left w:val="none" w:sz="0" w:space="0" w:color="auto"/>
        <w:bottom w:val="none" w:sz="0" w:space="0" w:color="auto"/>
        <w:right w:val="none" w:sz="0" w:space="0" w:color="auto"/>
      </w:divBdr>
    </w:div>
    <w:div w:id="470750225">
      <w:bodyDiv w:val="1"/>
      <w:marLeft w:val="0"/>
      <w:marRight w:val="0"/>
      <w:marTop w:val="0"/>
      <w:marBottom w:val="0"/>
      <w:divBdr>
        <w:top w:val="none" w:sz="0" w:space="0" w:color="auto"/>
        <w:left w:val="none" w:sz="0" w:space="0" w:color="auto"/>
        <w:bottom w:val="none" w:sz="0" w:space="0" w:color="auto"/>
        <w:right w:val="none" w:sz="0" w:space="0" w:color="auto"/>
      </w:divBdr>
    </w:div>
    <w:div w:id="576667218">
      <w:bodyDiv w:val="1"/>
      <w:marLeft w:val="0"/>
      <w:marRight w:val="0"/>
      <w:marTop w:val="0"/>
      <w:marBottom w:val="0"/>
      <w:divBdr>
        <w:top w:val="none" w:sz="0" w:space="0" w:color="auto"/>
        <w:left w:val="none" w:sz="0" w:space="0" w:color="auto"/>
        <w:bottom w:val="none" w:sz="0" w:space="0" w:color="auto"/>
        <w:right w:val="none" w:sz="0" w:space="0" w:color="auto"/>
      </w:divBdr>
    </w:div>
    <w:div w:id="956982800">
      <w:bodyDiv w:val="1"/>
      <w:marLeft w:val="0"/>
      <w:marRight w:val="0"/>
      <w:marTop w:val="0"/>
      <w:marBottom w:val="0"/>
      <w:divBdr>
        <w:top w:val="none" w:sz="0" w:space="0" w:color="auto"/>
        <w:left w:val="none" w:sz="0" w:space="0" w:color="auto"/>
        <w:bottom w:val="none" w:sz="0" w:space="0" w:color="auto"/>
        <w:right w:val="none" w:sz="0" w:space="0" w:color="auto"/>
      </w:divBdr>
    </w:div>
    <w:div w:id="1189635563">
      <w:bodyDiv w:val="1"/>
      <w:marLeft w:val="0"/>
      <w:marRight w:val="0"/>
      <w:marTop w:val="0"/>
      <w:marBottom w:val="0"/>
      <w:divBdr>
        <w:top w:val="none" w:sz="0" w:space="0" w:color="auto"/>
        <w:left w:val="none" w:sz="0" w:space="0" w:color="auto"/>
        <w:bottom w:val="none" w:sz="0" w:space="0" w:color="auto"/>
        <w:right w:val="none" w:sz="0" w:space="0" w:color="auto"/>
      </w:divBdr>
    </w:div>
    <w:div w:id="1194418971">
      <w:bodyDiv w:val="1"/>
      <w:marLeft w:val="0"/>
      <w:marRight w:val="0"/>
      <w:marTop w:val="0"/>
      <w:marBottom w:val="0"/>
      <w:divBdr>
        <w:top w:val="none" w:sz="0" w:space="0" w:color="auto"/>
        <w:left w:val="none" w:sz="0" w:space="0" w:color="auto"/>
        <w:bottom w:val="none" w:sz="0" w:space="0" w:color="auto"/>
        <w:right w:val="none" w:sz="0" w:space="0" w:color="auto"/>
      </w:divBdr>
    </w:div>
    <w:div w:id="1197547842">
      <w:bodyDiv w:val="1"/>
      <w:marLeft w:val="0"/>
      <w:marRight w:val="0"/>
      <w:marTop w:val="0"/>
      <w:marBottom w:val="0"/>
      <w:divBdr>
        <w:top w:val="none" w:sz="0" w:space="0" w:color="auto"/>
        <w:left w:val="none" w:sz="0" w:space="0" w:color="auto"/>
        <w:bottom w:val="none" w:sz="0" w:space="0" w:color="auto"/>
        <w:right w:val="none" w:sz="0" w:space="0" w:color="auto"/>
      </w:divBdr>
    </w:div>
    <w:div w:id="1242567887">
      <w:bodyDiv w:val="1"/>
      <w:marLeft w:val="0"/>
      <w:marRight w:val="0"/>
      <w:marTop w:val="0"/>
      <w:marBottom w:val="0"/>
      <w:divBdr>
        <w:top w:val="none" w:sz="0" w:space="0" w:color="auto"/>
        <w:left w:val="none" w:sz="0" w:space="0" w:color="auto"/>
        <w:bottom w:val="none" w:sz="0" w:space="0" w:color="auto"/>
        <w:right w:val="none" w:sz="0" w:space="0" w:color="auto"/>
      </w:divBdr>
    </w:div>
    <w:div w:id="1317801317">
      <w:bodyDiv w:val="1"/>
      <w:marLeft w:val="0"/>
      <w:marRight w:val="0"/>
      <w:marTop w:val="0"/>
      <w:marBottom w:val="0"/>
      <w:divBdr>
        <w:top w:val="none" w:sz="0" w:space="0" w:color="auto"/>
        <w:left w:val="none" w:sz="0" w:space="0" w:color="auto"/>
        <w:bottom w:val="none" w:sz="0" w:space="0" w:color="auto"/>
        <w:right w:val="none" w:sz="0" w:space="0" w:color="auto"/>
      </w:divBdr>
    </w:div>
    <w:div w:id="1344160314">
      <w:bodyDiv w:val="1"/>
      <w:marLeft w:val="0"/>
      <w:marRight w:val="0"/>
      <w:marTop w:val="0"/>
      <w:marBottom w:val="0"/>
      <w:divBdr>
        <w:top w:val="none" w:sz="0" w:space="0" w:color="auto"/>
        <w:left w:val="none" w:sz="0" w:space="0" w:color="auto"/>
        <w:bottom w:val="none" w:sz="0" w:space="0" w:color="auto"/>
        <w:right w:val="none" w:sz="0" w:space="0" w:color="auto"/>
      </w:divBdr>
    </w:div>
    <w:div w:id="1468551153">
      <w:bodyDiv w:val="1"/>
      <w:marLeft w:val="0"/>
      <w:marRight w:val="0"/>
      <w:marTop w:val="0"/>
      <w:marBottom w:val="0"/>
      <w:divBdr>
        <w:top w:val="none" w:sz="0" w:space="0" w:color="auto"/>
        <w:left w:val="none" w:sz="0" w:space="0" w:color="auto"/>
        <w:bottom w:val="none" w:sz="0" w:space="0" w:color="auto"/>
        <w:right w:val="none" w:sz="0" w:space="0" w:color="auto"/>
      </w:divBdr>
    </w:div>
    <w:div w:id="1641305121">
      <w:bodyDiv w:val="1"/>
      <w:marLeft w:val="0"/>
      <w:marRight w:val="0"/>
      <w:marTop w:val="0"/>
      <w:marBottom w:val="0"/>
      <w:divBdr>
        <w:top w:val="none" w:sz="0" w:space="0" w:color="auto"/>
        <w:left w:val="none" w:sz="0" w:space="0" w:color="auto"/>
        <w:bottom w:val="none" w:sz="0" w:space="0" w:color="auto"/>
        <w:right w:val="none" w:sz="0" w:space="0" w:color="auto"/>
      </w:divBdr>
    </w:div>
    <w:div w:id="16694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data/gho/data/countries/country-details/GHO/mexico?countryProfileId=3f585f95-5475-4cac-94b3-c55ad1ed731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ank.org/en/country/mexico/overview" TargetMode="External"/><Relationship Id="rId5" Type="http://schemas.openxmlformats.org/officeDocument/2006/relationships/numbering" Target="numbering.xml"/><Relationship Id="rId10" Type="http://schemas.openxmlformats.org/officeDocument/2006/relationships/hyperlink" Target="https://www.undp.org/sites/g/files/zskgke326/files/2023-04/UNDP-RBLAC-PNUD_WckPapers_37%20%281%29.pdf" TargetMode="External"/><Relationship Id="rId4" Type="http://schemas.openxmlformats.org/officeDocument/2006/relationships/customXml" Target="../customXml/item4.xml"/><Relationship Id="rId9" Type="http://schemas.openxmlformats.org/officeDocument/2006/relationships/hyperlink" Target="https://www.gob.m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28F130161BC4B8D1CD4C04983AC4D" ma:contentTypeVersion="14" ma:contentTypeDescription="Create a new document." ma:contentTypeScope="" ma:versionID="6e2b75bbed4bdcd4d22c31ce70487335">
  <xsd:schema xmlns:xsd="http://www.w3.org/2001/XMLSchema" xmlns:xs="http://www.w3.org/2001/XMLSchema" xmlns:p="http://schemas.microsoft.com/office/2006/metadata/properties" xmlns:ns3="4b8b88dc-5d79-4008-a5a0-be23ef53db43" xmlns:ns4="4febe6b5-36a1-4bc5-a752-77ca10f6dc62" targetNamespace="http://schemas.microsoft.com/office/2006/metadata/properties" ma:root="true" ma:fieldsID="51e1c95d139bd293133f629b87d2c1b8" ns3:_="" ns4:_="">
    <xsd:import namespace="4b8b88dc-5d79-4008-a5a0-be23ef53db43"/>
    <xsd:import namespace="4febe6b5-36a1-4bc5-a752-77ca10f6dc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88dc-5d79-4008-a5a0-be23ef53d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be6b5-36a1-4bc5-a752-77ca10f6dc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ebe6b5-36a1-4bc5-a752-77ca10f6d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Wor22</b:Tag>
    <b:SourceType>InternetSite</b:SourceType>
    <b:Guid>{2B075DE5-2726-425C-9103-C04F500666E7}</b:Guid>
    <b:Title>Dementia</b:Title>
    <b:Year>2022</b:Year>
    <b:Month>September</b:Month>
    <b:Day>20</b:Day>
    <b:URL>https://www.who.int/news-room/fact-sheets/detail/dementia</b:URL>
    <b:Author>
      <b:Author>
        <b:Corporate>World Health Organization</b:Corporate>
      </b:Author>
    </b:Author>
    <b:RefOrder>1</b:RefOrder>
  </b:Source>
  <b:Source>
    <b:Tag>May22</b:Tag>
    <b:SourceType>InternetSite</b:SourceType>
    <b:Guid>{A02F8DDF-969B-4C43-A3D3-585F95D3DEF1}</b:Guid>
    <b:Author>
      <b:Author>
        <b:Corporate>Mayo Clinic</b:Corporate>
      </b:Author>
    </b:Author>
    <b:Title>Dementia</b:Title>
    <b:Year>2022</b:Year>
    <b:Month>12</b:Month>
    <b:Day>October</b:Day>
    <b:URL>https://www.mayoclinic.org/diseases-conditions/dementia/symptoms-causes/syc-20352013</b:URL>
    <b:RefOrder>2</b:RefOrder>
  </b:Source>
  <b:Source>
    <b:Tag>Dem20</b:Tag>
    <b:SourceType>InternetSite</b:SourceType>
    <b:Guid>{CC89ED1E-60A0-4662-8E18-362E256078A7}</b:Guid>
    <b:Author>
      <b:Author>
        <b:Corporate>Dementia Australia</b:Corporate>
      </b:Author>
    </b:Author>
    <b:Year>2020</b:Year>
    <b:URL>https://www.dementia.org.au/</b:URL>
    <b:RefOrder>3</b:RefOrder>
  </b:Source>
  <b:Source>
    <b:Tag>The21</b:Tag>
    <b:SourceType>InternetSite</b:SourceType>
    <b:Guid>{E7C468C9-774F-488D-B847-8647B632C92A}</b:Guid>
    <b:Year>2021</b:Year>
    <b:Month>March</b:Month>
    <b:Day>15</b:Day>
    <b:URL>https://www.mja.com.au/journal/2021/214/7/dementia-prevention-time-act-now</b:URL>
    <b:Author>
      <b:Author>
        <b:Corporate>The Medical Journal Of Australia</b:Corporate>
      </b:Author>
    </b:Author>
    <b:RefOrder>4</b:RefOrder>
  </b:Source>
  <b:Source>
    <b:Tag>Aus23</b:Tag>
    <b:SourceType>InternetSite</b:SourceType>
    <b:Guid>{4BE8A1BE-EE99-4DE0-9B49-4FB73AD911A6}</b:Guid>
    <b:Author>
      <b:Author>
        <b:Corporate>Australian Institute of Health and Welfare</b:Corporate>
      </b:Author>
    </b:Author>
    <b:Title>Dementia in Australia</b:Title>
    <b:Year>2023</b:Year>
    <b:Month>February</b:Month>
    <b:Day>2023</b:Day>
    <b:URL>https://www.aihw.gov.au/reports/dementia/dementia-in-aus/contents/summary</b:URL>
    <b:RefOrder>5</b:RefOrder>
  </b:Source>
  <b:Source>
    <b:Tag>Bet14</b:Tag>
    <b:SourceType>InternetSite</b:SourceType>
    <b:Guid>{F3850254-7497-4255-BC7E-35263F8490A0}</b:Guid>
    <b:Author>
      <b:Author>
        <b:Corporate>Better Health Channel</b:Corporate>
      </b:Author>
    </b:Author>
    <b:Title>Dementia Early Signs</b:Title>
    <b:Year>2022</b:Year>
    <b:URL>https://www.betterhealth.vic.gov.au/health/conditionsandtreatments/dementia-early-signs</b:URL>
    <b:RefOrder>6</b:RefOrder>
  </b:Source>
  <b:Source>
    <b:Tag>Alz19</b:Tag>
    <b:SourceType>InternetSite</b:SourceType>
    <b:Guid>{987521C6-E4A9-4F07-9D20-3B66D451A76F}</b:Guid>
    <b:Author>
      <b:Author>
        <b:Corporate>Alzheimers Association</b:Corporate>
      </b:Author>
    </b:Author>
    <b:Title>Middle Stage Caregiving</b:Title>
    <b:Year>2019</b:Year>
    <b:URL>https://www.alz.org/help-support/caregiving/stages-behaviors/middle-stage</b:URL>
    <b:RefOrder>7</b:RefOrder>
  </b:Source>
  <b:Source>
    <b:Tag>Hea21</b:Tag>
    <b:SourceType>InternetSite</b:SourceType>
    <b:Guid>{90E98052-1F1C-4D48-B1B6-84C61476DB92}</b:Guid>
    <b:Author>
      <b:Author>
        <b:Corporate>Healthline</b:Corporate>
      </b:Author>
    </b:Author>
    <b:Title>11 Signs of Dementia</b:Title>
    <b:Year>2021</b:Year>
    <b:Month>December</b:Month>
    <b:Day>22</b:Day>
    <b:URL>https://www.healthline.com/health/dementia/early-warning-signs#summary</b:URL>
    <b:RefOrder>8</b:RefOrder>
  </b:Source>
  <b:Source>
    <b:Tag>BMC20</b:Tag>
    <b:SourceType>InternetSite</b:SourceType>
    <b:Guid>{E0382448-A86C-4A80-97F2-36D424FF5B99}</b:Guid>
    <b:Author>
      <b:Author>
        <b:Corporate>BMC Primary Care</b:Corporate>
      </b:Author>
    </b:Author>
    <b:Title>Cognitive, functional, physical, and nutritional status of the oldest old encountered in primary care: a systematic review</b:Title>
    <b:Year>2020</b:Year>
    <b:Month>March</b:Month>
    <b:Day>27</b:Day>
    <b:URL>https://bmcprimcare.biomedcentral.com/articles/10.1186/s12875-020-01128-7</b:URL>
    <b:RefOrder>9</b:RefOrder>
  </b:Source>
  <b:Source>
    <b:Tag>Nat21</b:Tag>
    <b:SourceType>InternetSite</b:SourceType>
    <b:Guid>{F6F52B53-B68C-4C29-917B-D3F38630AFD1}</b:Guid>
    <b:Author>
      <b:Author>
        <b:Corporate>National Institute of Ageing</b:Corporate>
      </b:Author>
    </b:Author>
    <b:Title>What is Dementia?Symptoms, Types and Diagnosis</b:Title>
    <b:Year>2021</b:Year>
    <b:URL>https://www.nia.nih.gov/health/what-is-dementia</b:URL>
    <b:RefOrder>10</b:RefOrder>
  </b:Source>
  <b:Source>
    <b:Tag>Nat23</b:Tag>
    <b:SourceType>InternetSite</b:SourceType>
    <b:Guid>{BB610298-B35B-4AF1-8C1C-CD2BF229E73D}</b:Guid>
    <b:Author>
      <b:Author>
        <b:Corporate>National Library of Medicine</b:Corporate>
      </b:Author>
    </b:Author>
    <b:Title>Incidence, morbidity, mortality and disparities in dementia: A population linked electronic health records study of 4.3 million individuals</b:Title>
    <b:Year>2023</b:Year>
    <b:Month>January</b:Month>
    <b:Day>19</b:Day>
    <b:URL>https://pubmed.ncbi.nlm.nih.gov/35290719/</b:URL>
    <b:RefOrder>11</b:RefOrder>
  </b:Source>
  <b:Source>
    <b:Tag>Ver22</b:Tag>
    <b:SourceType>InternetSite</b:SourceType>
    <b:Guid>{6C6794EC-BFE1-433A-8EE7-EA2D01462151}</b:Guid>
    <b:Author>
      <b:Author>
        <b:NameList>
          <b:Person>
            <b:Last>Angela Morrow</b:Last>
            <b:First>RN</b:First>
          </b:Person>
        </b:NameList>
      </b:Author>
    </b:Author>
    <b:Title>Dying From Dementia With Late-Stage Symptoms</b:Title>
    <b:Year>2022</b:Year>
    <b:Month>October</b:Month>
    <b:Day>26</b:Day>
    <b:URL>https://www.verywellhealth.com/what-is-it-like-to-die-of-dementia-1132331</b:URL>
    <b:RefOrder>12</b:RefOrder>
  </b:Source>
  <b:Source>
    <b:Tag>Aus16</b:Tag>
    <b:SourceType>InternetSite</b:SourceType>
    <b:Guid>{D8BF14F7-2B3C-4CB9-915E-F52C596DA183}</b:Guid>
    <b:Author>
      <b:Author>
        <b:Corporate>Australian Institute of Health and Welfare</b:Corporate>
      </b:Author>
    </b:Author>
    <b:Title>Chapter 4 Determinants of Health</b:Title>
    <b:Year>2016</b:Year>
    <b:Month>September</b:Month>
    <b:Day>13</b:Day>
    <b:URL>https://www.aihw.gov.au/reports/australias-health/australias-health-2016/contents/chapter-4-determinants-of-health</b:URL>
    <b:RefOrder>13</b:RefOrder>
  </b:Source>
  <b:Source>
    <b:Tag>Ind22</b:Tag>
    <b:SourceType>InternetSite</b:SourceType>
    <b:Guid>{60E6492E-46E2-4244-B040-027DD0BB8D45}</b:Guid>
    <b:Author>
      <b:Author>
        <b:Corporate>Independent Health and Aged Care Pricing Authority</b:Corporate>
      </b:Author>
    </b:Author>
    <b:Year>2022</b:Year>
    <b:URL>https://www.ihacpa.gov.au/health-care/classification/subacute-and-non-acute-care</b:URL>
    <b:RefOrder>14</b:RefOrder>
  </b:Source>
  <b:Source>
    <b:Tag>Dem22</b:Tag>
    <b:SourceType>InternetSite</b:SourceType>
    <b:Guid>{55E4CCA8-8943-4E8C-B0BB-8F60D1EC7F75}</b:Guid>
    <b:Author>
      <b:Author>
        <b:Corporate>Dementia Centre for Research Collaboration</b:Corporate>
      </b:Author>
    </b:Author>
    <b:Year>2022</b:Year>
    <b:URL>https://dementiaresearch.org.au/</b:URL>
    <b:RefOrder>15</b:RefOrder>
  </b:Source>
  <b:Source>
    <b:Tag>Hea18</b:Tag>
    <b:SourceType>InternetSite</b:SourceType>
    <b:Guid>{8AAB5083-A339-4151-83DF-1A4A293F7474}</b:Guid>
    <b:Author>
      <b:Author>
        <b:Corporate>HealthDirect</b:Corporate>
      </b:Author>
    </b:Author>
    <b:Title>Dementia</b:Title>
    <b:Year>2018</b:Year>
    <b:URL>https://www.healthdirect.gov.au/dementia</b:URL>
    <b:RefOrder>16</b:RefOrder>
  </b:Source>
  <b:Source>
    <b:Tag>Psy17</b:Tag>
    <b:SourceType>InternetSite</b:SourceType>
    <b:Guid>{05277E2F-DE49-4195-B190-0138600A84EF}</b:Guid>
    <b:Title>Introduction to Dementia</b:Title>
    <b:Year>2017</b:Year>
    <b:URL>https://www.psychdb.com/geri/dementia/home</b:URL>
    <b:Author>
      <b:Author>
        <b:Corporate>PsychDB</b:Corporate>
      </b:Author>
    </b:Author>
    <b:RefOrder>17</b:RefOrder>
  </b:Source>
  <b:Source>
    <b:Tag>Cen19</b:Tag>
    <b:SourceType>InternetSite</b:SourceType>
    <b:Guid>{FC3BA3E4-6AE0-4E72-87CF-9B4D8945D742}</b:Guid>
    <b:Author>
      <b:Author>
        <b:Corporate>Centers for Disease Control and Prevention</b:Corporate>
      </b:Author>
    </b:Author>
    <b:Title>Alzheimer's Disease and Healthy Ageing</b:Title>
    <b:Year>2019</b:Year>
    <b:Month>April</b:Month>
    <b:Day>5</b:Day>
    <b:URL>https://www.cdc.gov/aging/dementia/index.html</b:URL>
    <b:RefOrder>18</b:RefOrder>
  </b:Source>
  <b:Source>
    <b:Tag>Dem201</b:Tag>
    <b:SourceType>InternetSite</b:SourceType>
    <b:Guid>{06A099AC-5809-4A13-AFE8-AE72F575BAE7}</b:Guid>
    <b:Author>
      <b:Author>
        <b:Corporate>Dementia Training Australia</b:Corporate>
      </b:Author>
    </b:Author>
    <b:Year>2020</b:Year>
    <b:URL>https://dta.com.au/online-courses/understanding-responsive-behaviours-2/</b:URL>
    <b:RefOrder>19</b:RefOrder>
  </b:Source>
  <b:Source>
    <b:Tag>Aus21</b:Tag>
    <b:SourceType>InternetSite</b:SourceType>
    <b:Guid>{F980DF1D-29B9-4D6B-8937-CEE00AFD9540}</b:Guid>
    <b:Author>
      <b:Author>
        <b:Corporate>Australian Govenment, Department of Foreign Affairs and Trade</b:Corporate>
      </b:Author>
    </b:Author>
    <b:Title>Education and Health</b:Title>
    <b:Year>2021</b:Year>
    <b:URL>https://www.dfat.gov.au/development/topics/development-issues/education-health/Pages/education-and-health#:~:text=Education%20and%20health%20are%20critical,economy%20and%20lifting%20living%20standards.</b:URL>
    <b:RefOrder>20</b:RefOrder>
  </b:Source>
  <b:Source>
    <b:Tag>Dem23</b:Tag>
    <b:SourceType>InternetSite</b:SourceType>
    <b:Guid>{CF18242F-968A-485D-91F4-4DA16FA11C68}</b:Guid>
    <b:Author>
      <b:Author>
        <b:Corporate>Dementia Australia</b:Corporate>
      </b:Author>
    </b:Author>
    <b:Title>Key Facts and Statistics of Dementia</b:Title>
    <b:Year>2023</b:Year>
    <b:Month>February</b:Month>
    <b:URL>https://www.dementia.org.au/statistics#:~:text=Australian%20statistics&amp;text=Dementia%20is%20the%20leading%20cause%20of%20death%20for%20women.&amp;text=In%202023%2C%20there%20are%20more</b:URL>
    <b:RefOrder>21</b:RefOrder>
  </b:Source>
  <b:Source>
    <b:Tag>SAH17</b:Tag>
    <b:SourceType>InternetSite</b:SourceType>
    <b:Guid>{5ADE0EA7-F0A0-4B65-8B17-9E781DE33686}</b:Guid>
    <b:Author>
      <b:Author>
        <b:Corporate>SAHMRI</b:Corporate>
      </b:Author>
    </b:Author>
    <b:Title>Dementia, Brain Function and Neuroscience</b:Title>
    <b:Year>2017</b:Year>
    <b:URL>https://sahmri.org.au/research-topics/dementia-and-brain-function</b:URL>
    <b:RefOrder>22</b:RefOrder>
  </b:Source>
  <b:Source>
    <b:Tag>Age20</b:Tag>
    <b:SourceType>InternetSite</b:SourceType>
    <b:Guid>{BCF7AA7A-0077-4BF8-B209-0699F541F4D6}</b:Guid>
    <b:Author>
      <b:Author>
        <b:Corporate>Aged Care Guide</b:Corporate>
      </b:Author>
    </b:Author>
    <b:Title>Dementia Care in Lockhart</b:Title>
    <b:Year>2020</b:Year>
    <b:URL>https://www.agedcareguide.com.au/search/services/lockhart-nsw?features%5B%5D=has_dementia_advisors</b:URL>
    <b:RefOrder>23</b:RefOrder>
  </b:Source>
  <b:Source>
    <b:Tag>Dep20</b:Tag>
    <b:SourceType>InternetSite</b:SourceType>
    <b:Guid>{67DFFAA8-2512-45D0-A3F4-279A34CACE6B}</b:Guid>
    <b:Author>
      <b:Author>
        <b:Corporate>Department of Health</b:Corporate>
      </b:Author>
    </b:Author>
    <b:Title>Alzheimers Disease</b:Title>
    <b:Year>2020</b:Year>
    <b:URL>https://www.healthywa.wa.gov.au/Articles/A_E/Alzheimers-disease#:~:text=Call%20the%20National%20Dementia%20Helpline,site)%20on%201800%20100%20500.&amp;text=For%20an%20older%20person%20with,clinic%20at%20your%20local%20hospital.</b:URL>
    <b:RefOrder>24</b:RefOrder>
  </b:Source>
  <b:Source>
    <b:Tag>Wei16</b:Tag>
    <b:SourceType>InternetSite</b:SourceType>
    <b:Guid>{9BA16C0D-7387-4694-AC61-B70605F51E05}</b:Guid>
    <b:Author>
      <b:Author>
        <b:Corporate>Weiner Labororatory </b:Corporate>
      </b:Author>
    </b:Author>
    <b:Title>Howard L. Weiner</b:Title>
    <b:Year>2016</b:Year>
    <b:URL>https://weinerlab.bwh.harvard.edu/?page_id=154</b:URL>
    <b:RefOrder>25</b:RefOrder>
  </b:Source>
</b:Sources>
</file>

<file path=customXml/itemProps1.xml><?xml version="1.0" encoding="utf-8"?>
<ds:datastoreItem xmlns:ds="http://schemas.openxmlformats.org/officeDocument/2006/customXml" ds:itemID="{41CE0516-D1ED-47F6-9EC3-5932E77F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88dc-5d79-4008-a5a0-be23ef53db43"/>
    <ds:schemaRef ds:uri="4febe6b5-36a1-4bc5-a752-77ca10f6d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9BA1A-739C-41A6-9FAA-D8FC2DD35F0E}">
  <ds:schemaRefs>
    <ds:schemaRef ds:uri="http://schemas.microsoft.com/office/2006/metadata/properties"/>
    <ds:schemaRef ds:uri="http://schemas.microsoft.com/office/infopath/2007/PartnerControls"/>
    <ds:schemaRef ds:uri="4febe6b5-36a1-4bc5-a752-77ca10f6dc62"/>
  </ds:schemaRefs>
</ds:datastoreItem>
</file>

<file path=customXml/itemProps3.xml><?xml version="1.0" encoding="utf-8"?>
<ds:datastoreItem xmlns:ds="http://schemas.openxmlformats.org/officeDocument/2006/customXml" ds:itemID="{F456E0FB-3E72-4DB3-97EA-1C243C80F37E}">
  <ds:schemaRefs>
    <ds:schemaRef ds:uri="http://schemas.microsoft.com/sharepoint/v3/contenttype/forms"/>
  </ds:schemaRefs>
</ds:datastoreItem>
</file>

<file path=customXml/itemProps4.xml><?xml version="1.0" encoding="utf-8"?>
<ds:datastoreItem xmlns:ds="http://schemas.openxmlformats.org/officeDocument/2006/customXml" ds:itemID="{5C762EFE-FB5C-4043-A43F-42848EBA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1603</Words>
  <Characters>9143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Links>
    <vt:vector size="24" baseType="variant">
      <vt:variant>
        <vt:i4>5177369</vt:i4>
      </vt:variant>
      <vt:variant>
        <vt:i4>9</vt:i4>
      </vt:variant>
      <vt:variant>
        <vt:i4>0</vt:i4>
      </vt:variant>
      <vt:variant>
        <vt:i4>5</vt:i4>
      </vt:variant>
      <vt:variant>
        <vt:lpwstr>https://www.who.int/data/gho/data/countries/country-details/GHO/mexico?countryProfileId=3f585f95-5475-4cac-94b3-c55ad1ed731b</vt:lpwstr>
      </vt:variant>
      <vt:variant>
        <vt:lpwstr/>
      </vt:variant>
      <vt:variant>
        <vt:i4>131198</vt:i4>
      </vt:variant>
      <vt:variant>
        <vt:i4>6</vt:i4>
      </vt:variant>
      <vt:variant>
        <vt:i4>0</vt:i4>
      </vt:variant>
      <vt:variant>
        <vt:i4>5</vt:i4>
      </vt:variant>
      <vt:variant>
        <vt:lpwstr>https://www.worldbank.org/en/country/mexico/overview</vt:lpwstr>
      </vt:variant>
      <vt:variant>
        <vt:lpwstr>1</vt:lpwstr>
      </vt:variant>
      <vt:variant>
        <vt:i4>3145839</vt:i4>
      </vt:variant>
      <vt:variant>
        <vt:i4>3</vt:i4>
      </vt:variant>
      <vt:variant>
        <vt:i4>0</vt:i4>
      </vt:variant>
      <vt:variant>
        <vt:i4>5</vt:i4>
      </vt:variant>
      <vt:variant>
        <vt:lpwstr>https://www.undp.org/sites/g/files/zskgke326/files/2023-04/UNDP-RBLAC-PNUD_WckPapers_37 %281%29.pdf</vt:lpwstr>
      </vt:variant>
      <vt:variant>
        <vt:lpwstr/>
      </vt:variant>
      <vt:variant>
        <vt:i4>7405608</vt:i4>
      </vt:variant>
      <vt:variant>
        <vt:i4>0</vt:i4>
      </vt:variant>
      <vt:variant>
        <vt:i4>0</vt:i4>
      </vt:variant>
      <vt:variant>
        <vt:i4>5</vt:i4>
      </vt:variant>
      <vt:variant>
        <vt:lpwstr>https://www.gob.mx/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Shomir Hossain</dc:creator>
  <cp:keywords/>
  <dc:description/>
  <cp:lastModifiedBy>Shomir Hossain</cp:lastModifiedBy>
  <cp:revision>146</cp:revision>
  <dcterms:created xsi:type="dcterms:W3CDTF">2023-06-19T01:33:00Z</dcterms:created>
  <dcterms:modified xsi:type="dcterms:W3CDTF">2023-06-23T15:15:00Z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2b1f4c7d-4d1f-47bd-902f-e4ec87313fbd</vt:lpwstr>
  </property>
  <property fmtid="{D5CDD505-2E9C-101B-9397-08002B2CF9AE}" pid="3" name="ContentTypeId">
    <vt:lpwstr>0x010100D1628F130161BC4B8D1CD4C04983AC4D</vt:lpwstr>
  </property>
</Properties>
</file>